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numPr>
          <w:ilvl w:val="0"/>
          <w:numId w:val="1"/>
        </w:numPr>
        <w:spacing w:after="156" w:afterLines="50" w:line="360" w:lineRule="auto"/>
        <w:ind w:firstLineChars="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SDP控制器网关一体机，标准机型，冗余电源；加密流量（Mbps）≥480Mbps</w:t>
      </w:r>
      <w:r>
        <w:rPr>
          <w:rFonts w:hint="eastAsia"/>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 xml:space="preserve">接口≥ </w:t>
      </w:r>
      <w:r>
        <w:rPr>
          <w:rFonts w:ascii="宋体" w:hAnsi="宋体"/>
          <w:color w:val="000000" w:themeColor="text1"/>
          <w:sz w:val="18"/>
          <w:szCs w:val="18"/>
          <w14:textFill>
            <w14:solidFill>
              <w14:schemeClr w14:val="tx1"/>
            </w14:solidFill>
          </w14:textFill>
        </w:rPr>
        <w:t>6</w:t>
      </w:r>
      <w:r>
        <w:rPr>
          <w:rFonts w:hint="eastAsia" w:ascii="宋体" w:hAnsi="宋体"/>
          <w:color w:val="000000" w:themeColor="text1"/>
          <w:sz w:val="18"/>
          <w:szCs w:val="18"/>
          <w14:textFill>
            <w14:solidFill>
              <w14:schemeClr w14:val="tx1"/>
            </w14:solidFill>
          </w14:textFill>
        </w:rPr>
        <w:t>个千兆电口；≥4个SFP+千兆光口；内存大小≥1</w:t>
      </w:r>
      <w:r>
        <w:rPr>
          <w:rFonts w:ascii="宋体" w:hAnsi="宋体"/>
          <w:color w:val="000000" w:themeColor="text1"/>
          <w:sz w:val="18"/>
          <w:szCs w:val="18"/>
          <w14:textFill>
            <w14:solidFill>
              <w14:schemeClr w14:val="tx1"/>
            </w14:solidFill>
          </w14:textFill>
        </w:rPr>
        <w:t>6G</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硬盘容量</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128G</w:t>
      </w:r>
      <w:r>
        <w:rPr>
          <w:rFonts w:hint="eastAsia" w:ascii="宋体" w:hAnsi="宋体"/>
          <w:color w:val="000000" w:themeColor="text1"/>
          <w:sz w:val="18"/>
          <w:szCs w:val="18"/>
          <w14:textFill>
            <w14:solidFill>
              <w14:schemeClr w14:val="tx1"/>
            </w14:solidFill>
          </w14:textFill>
        </w:rPr>
        <w:t xml:space="preserve"> SSD；最大支持并发用户数≥1000个；包含100个并发用户授权（永久授权），支持PC和移动接入；提供三年软件升级和产品质保服务；</w:t>
      </w:r>
      <w:r>
        <w:rPr>
          <w:rFonts w:hint="eastAsia" w:ascii="宋体" w:hAnsi="宋体"/>
          <w:b/>
          <w:color w:val="000000" w:themeColor="text1"/>
          <w:sz w:val="18"/>
          <w:szCs w:val="18"/>
          <w14:textFill>
            <w14:solidFill>
              <w14:schemeClr w14:val="tx1"/>
            </w14:solidFill>
          </w14:textFill>
        </w:rPr>
        <w:t>（★）</w:t>
      </w:r>
    </w:p>
    <w:p>
      <w:pPr>
        <w:pStyle w:val="12"/>
        <w:numPr>
          <w:ilvl w:val="0"/>
          <w:numId w:val="1"/>
        </w:numPr>
        <w:spacing w:after="156" w:afterLines="50" w:line="360" w:lineRule="auto"/>
        <w:ind w:firstLineChars="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支持对Windows、Mac、信创、Linux终端、IOS终端、Android终端，</w:t>
      </w:r>
      <w:r>
        <w:rPr>
          <w:rFonts w:hint="eastAsia"/>
          <w:sz w:val="18"/>
          <w:szCs w:val="18"/>
        </w:rPr>
        <w:t>终端应兼容主流国产硬件CPU的国产操作系统；</w:t>
      </w:r>
      <w:r>
        <w:rPr>
          <w:rFonts w:hint="eastAsia" w:ascii="宋体" w:hAnsi="宋体"/>
          <w:color w:val="000000" w:themeColor="text1"/>
          <w:sz w:val="18"/>
          <w:szCs w:val="18"/>
          <w14:textFill>
            <w14:solidFill>
              <w14:schemeClr w14:val="tx1"/>
            </w14:solidFill>
          </w14:textFill>
        </w:rPr>
        <w:t>终端根据不同的业务系统，对终端环境、用户身份进行检测评估，一旦触发安全规则，则执行相应的防护动作。如，运行指定软件、安装杀毒软件、达到安全基线等；</w:t>
      </w:r>
      <w:r>
        <w:rPr>
          <w:rFonts w:hint="eastAsia"/>
          <w:b/>
        </w:rPr>
        <w:t>（需提供国产操作系统与零信任厂商的兼容性证明材料复印件）</w:t>
      </w:r>
      <w:r>
        <w:rPr>
          <w:rFonts w:ascii="宋体" w:hAnsi="宋体"/>
          <w:color w:val="000000" w:themeColor="text1"/>
          <w:sz w:val="18"/>
          <w:szCs w:val="18"/>
          <w14:textFill>
            <w14:solidFill>
              <w14:schemeClr w14:val="tx1"/>
            </w14:solidFill>
          </w14:textFill>
        </w:rPr>
        <w:t xml:space="preserve"> </w:t>
      </w:r>
    </w:p>
    <w:p>
      <w:pPr>
        <w:pStyle w:val="12"/>
        <w:numPr>
          <w:ilvl w:val="0"/>
          <w:numId w:val="1"/>
        </w:numPr>
        <w:spacing w:after="156" w:afterLines="50" w:line="360" w:lineRule="auto"/>
        <w:ind w:firstLineChars="0"/>
        <w:rPr>
          <w:rFonts w:ascii="宋体" w:hAnsi="宋体"/>
          <w:b/>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支持对账号暴力破解的防护，支持在用户访问时，识别到多次密码输入错误后，开启防爆破机制，进行图像校验或锁定IP或用户,并于指定时长后自动恢复；</w:t>
      </w:r>
      <w:r>
        <w:rPr>
          <w:rFonts w:hint="eastAsia" w:ascii="宋体" w:hAnsi="宋体"/>
          <w:b/>
          <w:color w:val="000000" w:themeColor="text1"/>
          <w:sz w:val="18"/>
          <w:szCs w:val="18"/>
          <w14:textFill>
            <w14:solidFill>
              <w14:schemeClr w14:val="tx1"/>
            </w14:solidFill>
          </w14:textFill>
        </w:rPr>
        <w:t>（须提供所投产品对应功能截图）</w:t>
      </w:r>
    </w:p>
    <w:p>
      <w:pPr>
        <w:pStyle w:val="12"/>
        <w:numPr>
          <w:ilvl w:val="0"/>
          <w:numId w:val="1"/>
        </w:numPr>
        <w:ind w:firstLineChars="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支持查看当前设备运行状态，包括但不限于设备硬件状态（CPU、内存、磁盘占比等）、并发会话数、并发用户数、实时网络吞吐、历史网络吞吐峰值等信息，便于管理员掌握设备整体运行情况；</w:t>
      </w:r>
    </w:p>
    <w:p>
      <w:pPr>
        <w:pStyle w:val="12"/>
        <w:numPr>
          <w:ilvl w:val="0"/>
          <w:numId w:val="1"/>
        </w:numPr>
        <w:spacing w:after="156" w:afterLines="50" w:line="360" w:lineRule="auto"/>
        <w:ind w:firstLineChars="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支持用户组及用户配置及分级管理，支持上下级认证策略、关联角色、认证方式的继承关系配置，通过继承功能实现配置的快速复用，简化配置管理工作；</w:t>
      </w:r>
    </w:p>
    <w:p>
      <w:pPr>
        <w:pStyle w:val="12"/>
        <w:numPr>
          <w:ilvl w:val="0"/>
          <w:numId w:val="1"/>
        </w:numPr>
        <w:ind w:firstLineChars="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为了进一步保障用户身份安全，需支持多因素认证，支持管理员结合已对接的主认证和辅认证类型进行设置，可自由选择采用首次认证+二次认证+终端认证+增强认证等方式。</w:t>
      </w:r>
    </w:p>
    <w:p>
      <w:pPr>
        <w:pStyle w:val="12"/>
        <w:numPr>
          <w:ilvl w:val="0"/>
          <w:numId w:val="1"/>
        </w:numPr>
        <w:ind w:firstLineChars="0"/>
        <w:rPr>
          <w:rFonts w:ascii="宋体" w:hAnsi="宋体"/>
          <w:color w:val="000000" w:themeColor="text1"/>
          <w:sz w:val="18"/>
          <w:szCs w:val="18"/>
          <w14:textFill>
            <w14:solidFill>
              <w14:schemeClr w14:val="tx1"/>
            </w14:solidFill>
          </w14:textFill>
        </w:rPr>
      </w:pPr>
      <w:r>
        <w:rPr>
          <w:rFonts w:hint="eastAsia"/>
          <w:color w:val="000000" w:themeColor="text1"/>
          <w:sz w:val="20"/>
          <w:szCs w:val="22"/>
          <w14:textFill>
            <w14:solidFill>
              <w14:schemeClr w14:val="tx1"/>
            </w14:solidFill>
          </w14:textFill>
        </w:rPr>
        <w:t>支持用户安全日志提取，审计中心应将具有异常登录行为的用户日志自动打标签为用户安全日志，以便于管理员快速审计定位。用户安全日志包括但不限于：帐号安全（应包含帐号首次登录、异常时间登录、非常用地点登录、弱密码登录、爆破登录、闲置帐号登录、帐号在新终端登录等）、中间人攻击、SPA安全（应包含SPA端口扫描、SPA爆破攻击、SPA敲门伪造、SPA重放攻击、SPA安全码泄漏等）、cookie劫持等。</w:t>
      </w:r>
      <w:r>
        <w:rPr>
          <w:rFonts w:hint="eastAsia" w:ascii="宋体" w:hAnsi="宋体"/>
          <w:b/>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w:t>
      </w:r>
      <w:r>
        <w:rPr>
          <w:rFonts w:hint="eastAsia" w:ascii="宋体" w:hAnsi="宋体"/>
          <w:b/>
          <w:color w:val="000000" w:themeColor="text1"/>
          <w:sz w:val="18"/>
          <w:szCs w:val="18"/>
          <w14:textFill>
            <w14:solidFill>
              <w14:schemeClr w14:val="tx1"/>
            </w14:solidFill>
          </w14:textFill>
        </w:rPr>
        <w:t xml:space="preserve">须提供所投产品对应功能截图） </w:t>
      </w:r>
    </w:p>
    <w:p>
      <w:pPr>
        <w:pStyle w:val="12"/>
        <w:numPr>
          <w:ilvl w:val="0"/>
          <w:numId w:val="1"/>
        </w:numPr>
        <w:spacing w:after="156" w:afterLines="50" w:line="360" w:lineRule="auto"/>
        <w:ind w:firstLineChars="0"/>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产品</w:t>
      </w:r>
      <w:r>
        <w:rPr>
          <w:rFonts w:hint="eastAsia" w:ascii="宋体" w:hAnsi="宋体"/>
          <w:color w:val="000000" w:themeColor="text1"/>
          <w:sz w:val="18"/>
          <w:szCs w:val="18"/>
          <w14:textFill>
            <w14:solidFill>
              <w14:schemeClr w14:val="tx1"/>
            </w14:solidFill>
          </w14:textFill>
        </w:rPr>
        <w:t>支持行为审计溯源功能，基于用户、终端、资产、访问行为的原始日志和风险告警日志，并基于日志实现事后的轨迹追溯和审计；</w:t>
      </w:r>
      <w:r>
        <w:rPr>
          <w:rFonts w:hint="eastAsia" w:ascii="宋体" w:hAnsi="宋体"/>
          <w:b/>
          <w:bCs/>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w:t>
      </w:r>
      <w:r>
        <w:rPr>
          <w:rFonts w:hint="eastAsia" w:ascii="宋体" w:hAnsi="宋体"/>
          <w:b/>
          <w:bCs/>
          <w:color w:val="000000" w:themeColor="text1"/>
          <w:sz w:val="18"/>
          <w:szCs w:val="18"/>
          <w14:textFill>
            <w14:solidFill>
              <w14:schemeClr w14:val="tx1"/>
            </w14:solidFill>
          </w14:textFill>
        </w:rPr>
        <w:t>需提供公安部计算机信息系统安全产品质量监督检验中心出具的检测报告关键页证明材料复印件）</w:t>
      </w:r>
    </w:p>
    <w:p>
      <w:pPr>
        <w:pStyle w:val="12"/>
        <w:numPr>
          <w:ilvl w:val="0"/>
          <w:numId w:val="1"/>
        </w:numPr>
        <w:spacing w:after="156" w:afterLines="50" w:line="360" w:lineRule="auto"/>
        <w:ind w:firstLineChars="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支持提供开放的API，管理员可在控制台创建API SDK，供第三方安全设备或单位自有安全分析平台对接，便于形成统一的安全体系；</w:t>
      </w:r>
    </w:p>
    <w:p>
      <w:pPr>
        <w:pStyle w:val="12"/>
        <w:numPr>
          <w:ilvl w:val="0"/>
          <w:numId w:val="1"/>
        </w:numPr>
        <w:spacing w:after="156" w:afterLines="50" w:line="360" w:lineRule="auto"/>
        <w:ind w:firstLineChars="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支持丰富的短信认证类型，支持短信猫、CMPP2.0/3.0、SGIP1.2、SMGP3.0、等短信认证平台，支持基于http、webservice接口的自定义短信网关模板，无需二次开发支持主流的互联网短信网关厂家；</w:t>
      </w:r>
    </w:p>
    <w:p>
      <w:pPr>
        <w:pStyle w:val="12"/>
        <w:numPr>
          <w:ilvl w:val="0"/>
          <w:numId w:val="1"/>
        </w:numPr>
        <w:spacing w:after="156" w:afterLines="50" w:line="360" w:lineRule="auto"/>
        <w:ind w:firstLineChars="0"/>
        <w:rPr>
          <w:rFonts w:ascii="宋体" w:hAnsi="宋体"/>
          <w:b/>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支持以文件为单位，对工作应用产生的数据进行加密保存；支持透明加解密技术，加解密过程对用户无感知，在工作空间内可直接打开文档进行预览和编辑；</w:t>
      </w:r>
      <w:r>
        <w:rPr>
          <w:rFonts w:hint="eastAsia" w:ascii="宋体" w:hAnsi="宋体"/>
          <w:b/>
          <w:color w:val="000000" w:themeColor="text1"/>
          <w:sz w:val="18"/>
          <w:szCs w:val="18"/>
          <w14:textFill>
            <w14:solidFill>
              <w14:schemeClr w14:val="tx1"/>
            </w14:solidFill>
          </w14:textFill>
        </w:rPr>
        <w:t>（需提供产品功能截图证明）</w:t>
      </w:r>
    </w:p>
    <w:p>
      <w:pPr>
        <w:pStyle w:val="12"/>
        <w:numPr>
          <w:ilvl w:val="0"/>
          <w:numId w:val="1"/>
        </w:numPr>
        <w:spacing w:after="156" w:afterLines="50" w:line="360" w:lineRule="auto"/>
        <w:ind w:firstLineChars="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产品具备CDN接入能力，支持配置企业的CDN作为零信任客户端下载地址，支持配置获取CDN加速前的访问IP；（</w:t>
      </w:r>
      <w:r>
        <w:rPr>
          <w:rFonts w:hint="eastAsia" w:ascii="宋体" w:hAnsi="宋体"/>
          <w:b/>
          <w:color w:val="000000" w:themeColor="text1"/>
          <w:sz w:val="18"/>
          <w:szCs w:val="18"/>
          <w14:textFill>
            <w14:solidFill>
              <w14:schemeClr w14:val="tx1"/>
            </w14:solidFill>
          </w14:textFill>
        </w:rPr>
        <w:t>★需提供带有CMA标识的检测报告复印件证明材料，至少包含报告首页，对应功能测试页和报告尾页</w:t>
      </w:r>
      <w:r>
        <w:rPr>
          <w:rFonts w:hint="eastAsia" w:ascii="宋体" w:hAnsi="宋体"/>
          <w:color w:val="000000" w:themeColor="text1"/>
          <w:sz w:val="18"/>
          <w:szCs w:val="18"/>
          <w14:textFill>
            <w14:solidFill>
              <w14:schemeClr w14:val="tx1"/>
            </w14:solidFill>
          </w14:textFill>
        </w:rPr>
        <w:t>）</w:t>
      </w:r>
    </w:p>
    <w:p>
      <w:pPr>
        <w:pStyle w:val="12"/>
        <w:numPr>
          <w:ilvl w:val="0"/>
          <w:numId w:val="1"/>
        </w:numPr>
        <w:spacing w:after="156" w:afterLines="50" w:line="360" w:lineRule="auto"/>
        <w:ind w:firstLineChars="0"/>
        <w:rPr>
          <w:rFonts w:ascii="宋体" w:hAnsi="宋体"/>
          <w:color w:val="000000" w:themeColor="text1"/>
          <w:sz w:val="18"/>
          <w:szCs w:val="18"/>
          <w14:textFill>
            <w14:solidFill>
              <w14:schemeClr w14:val="tx1"/>
            </w14:solidFill>
          </w14:textFill>
        </w:rPr>
      </w:pPr>
      <w:r>
        <w:rPr>
          <w:rFonts w:ascii="Arial" w:hAnsi="Arial" w:cs="Arial"/>
          <w:color w:val="111111"/>
          <w:shd w:val="clear" w:color="auto" w:fill="FFFFFF"/>
        </w:rPr>
        <w:t>所投零信任设备必须支持国密算法及其协议。（</w:t>
      </w:r>
      <w:r>
        <w:rPr>
          <w:rFonts w:hint="eastAsia" w:ascii="宋体" w:hAnsi="宋体"/>
          <w:b/>
          <w:color w:val="000000" w:themeColor="text1"/>
          <w:sz w:val="18"/>
          <w:szCs w:val="18"/>
          <w14:textFill>
            <w14:solidFill>
              <w14:schemeClr w14:val="tx1"/>
            </w14:solidFill>
          </w14:textFill>
        </w:rPr>
        <w:t>★</w:t>
      </w:r>
      <w:r>
        <w:rPr>
          <w:rFonts w:ascii="Arial" w:hAnsi="Arial" w:cs="Arial"/>
          <w:b/>
          <w:color w:val="111111"/>
          <w:shd w:val="clear" w:color="auto" w:fill="FFFFFF"/>
        </w:rPr>
        <w:t>需提供国密认证证书</w:t>
      </w:r>
      <w:r>
        <w:rPr>
          <w:rFonts w:ascii="Arial" w:hAnsi="Arial" w:cs="Arial"/>
          <w:color w:val="111111"/>
          <w:shd w:val="clear" w:color="auto" w:fill="FFFFFF"/>
        </w:rPr>
        <w:t>）</w:t>
      </w:r>
    </w:p>
    <w:p>
      <w:pPr>
        <w:pStyle w:val="12"/>
        <w:numPr>
          <w:ilvl w:val="0"/>
          <w:numId w:val="1"/>
        </w:numPr>
        <w:spacing w:after="156" w:afterLines="50" w:line="360" w:lineRule="auto"/>
        <w:ind w:firstLineChars="0"/>
        <w:rPr>
          <w:rFonts w:ascii="宋体" w:hAnsi="宋体"/>
          <w:b/>
          <w:color w:val="000000" w:themeColor="text1"/>
          <w:sz w:val="18"/>
          <w:szCs w:val="18"/>
          <w14:textFill>
            <w14:solidFill>
              <w14:schemeClr w14:val="tx1"/>
            </w14:solidFill>
          </w14:textFill>
        </w:rPr>
      </w:pPr>
      <w:r>
        <w:rPr>
          <w:rFonts w:hint="eastAsia"/>
        </w:rPr>
        <w:t>提供终端诊断工具，支持对当前终端的基本环境进行扫描和一键修复，终端诊断检测内容应包括但不限于：Windows Temp目录可写状态、DNS驱动状态、零信任服务运行状态、零信任http服务检测状态、关键控件完整性检测、可疑病毒驱动检测、是否启动IE代理、是否启动IE自动代理脚本、虚拟网卡状态、虚拟网卡注册表、Hiworld病毒检测、系统依赖库返回情况、核心文件和依赖库检测返回情况、系统防火墙规则、本地DNS列表、系统本地时间等。</w:t>
      </w:r>
      <w:r>
        <w:rPr>
          <w:rFonts w:hint="eastAsia"/>
          <w:b/>
        </w:rPr>
        <w:t>（需提供功能截图证明）</w:t>
      </w:r>
    </w:p>
    <w:p>
      <w:pPr>
        <w:pStyle w:val="12"/>
        <w:spacing w:after="156" w:afterLines="50" w:line="360" w:lineRule="auto"/>
        <w:ind w:firstLine="0" w:firstLineChars="0"/>
        <w:rPr>
          <w:rFonts w:ascii="宋体" w:hAnsi="宋体"/>
          <w:color w:val="000000" w:themeColor="text1"/>
          <w:sz w:val="18"/>
          <w:szCs w:val="18"/>
          <w14:textFill>
            <w14:solidFill>
              <w14:schemeClr w14:val="tx1"/>
            </w14:solidFill>
          </w14:textFill>
        </w:rPr>
      </w:pPr>
      <w:bookmarkStart w:id="0" w:name="_GoBack"/>
      <w:bookmarkEnd w:id="0"/>
    </w:p>
    <w:p>
      <w:pPr>
        <w:snapToGrid w:val="0"/>
        <w:spacing w:line="500" w:lineRule="exact"/>
        <w:rPr>
          <w:rFonts w:ascii="宋体" w:hAnsi="宋体"/>
          <w:color w:val="000000" w:themeColor="text1"/>
          <w:spacing w:val="-2"/>
          <w:sz w:val="24"/>
          <w:szCs w:val="24"/>
          <w14:textFill>
            <w14:solidFill>
              <w14:schemeClr w14:val="tx1"/>
            </w14:solidFill>
          </w14:textFill>
        </w:rPr>
      </w:pPr>
      <w:r>
        <w:rPr>
          <w:rFonts w:hint="eastAsia" w:ascii="宋体" w:hAnsi="宋体"/>
          <w:color w:val="000000" w:themeColor="text1"/>
          <w:spacing w:val="-2"/>
          <w:sz w:val="24"/>
          <w:szCs w:val="24"/>
          <w14:textFill>
            <w14:solidFill>
              <w14:schemeClr w14:val="tx1"/>
            </w14:solidFill>
          </w14:textFill>
        </w:rPr>
        <w:t xml:space="preserve">评分采用百分制，各专项所占分值见下表： </w:t>
      </w:r>
    </w:p>
    <w:tbl>
      <w:tblPr>
        <w:tblStyle w:val="9"/>
        <w:tblW w:w="906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5358"/>
        <w:gridCol w:w="2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198" w:type="dxa"/>
            <w:vAlign w:val="center"/>
          </w:tcPr>
          <w:p>
            <w:pPr>
              <w:snapToGrid w:val="0"/>
              <w:spacing w:line="40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序号</w:t>
            </w:r>
          </w:p>
        </w:tc>
        <w:tc>
          <w:tcPr>
            <w:tcW w:w="5358" w:type="dxa"/>
            <w:vAlign w:val="center"/>
          </w:tcPr>
          <w:p>
            <w:pPr>
              <w:snapToGrid w:val="0"/>
              <w:spacing w:line="40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评分项目</w:t>
            </w:r>
          </w:p>
        </w:tc>
        <w:tc>
          <w:tcPr>
            <w:tcW w:w="2504" w:type="dxa"/>
            <w:vAlign w:val="center"/>
          </w:tcPr>
          <w:p>
            <w:pPr>
              <w:snapToGrid w:val="0"/>
              <w:spacing w:line="40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198" w:type="dxa"/>
            <w:vAlign w:val="center"/>
          </w:tcPr>
          <w:p>
            <w:pPr>
              <w:snapToGrid w:val="0"/>
              <w:spacing w:line="40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5358" w:type="dxa"/>
            <w:vAlign w:val="center"/>
          </w:tcPr>
          <w:p>
            <w:pPr>
              <w:snapToGrid w:val="0"/>
              <w:spacing w:line="40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pacing w:val="-2"/>
                <w:sz w:val="24"/>
                <w:szCs w:val="24"/>
                <w14:textFill>
                  <w14:solidFill>
                    <w14:schemeClr w14:val="tx1"/>
                  </w14:solidFill>
                </w14:textFill>
              </w:rPr>
              <w:t>技术部分</w:t>
            </w:r>
          </w:p>
        </w:tc>
        <w:tc>
          <w:tcPr>
            <w:tcW w:w="2504" w:type="dxa"/>
            <w:vAlign w:val="center"/>
          </w:tcPr>
          <w:p>
            <w:pPr>
              <w:snapToGrid w:val="0"/>
              <w:spacing w:line="400" w:lineRule="atLeast"/>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198" w:type="dxa"/>
            <w:vAlign w:val="center"/>
          </w:tcPr>
          <w:p>
            <w:pPr>
              <w:snapToGrid w:val="0"/>
              <w:spacing w:line="40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p>
        </w:tc>
        <w:tc>
          <w:tcPr>
            <w:tcW w:w="5358" w:type="dxa"/>
            <w:vAlign w:val="center"/>
          </w:tcPr>
          <w:p>
            <w:pPr>
              <w:snapToGrid w:val="0"/>
              <w:spacing w:line="400" w:lineRule="atLeast"/>
              <w:jc w:val="center"/>
              <w:rPr>
                <w:rFonts w:ascii="宋体" w:hAnsi="宋体"/>
                <w:color w:val="000000" w:themeColor="text1"/>
                <w:spacing w:val="-2"/>
                <w:sz w:val="24"/>
                <w:szCs w:val="24"/>
                <w14:textFill>
                  <w14:solidFill>
                    <w14:schemeClr w14:val="tx1"/>
                  </w14:solidFill>
                </w14:textFill>
              </w:rPr>
            </w:pPr>
            <w:r>
              <w:rPr>
                <w:rFonts w:hint="eastAsia" w:ascii="宋体" w:hAnsi="宋体"/>
                <w:color w:val="000000" w:themeColor="text1"/>
                <w:spacing w:val="-2"/>
                <w:sz w:val="24"/>
                <w:szCs w:val="24"/>
                <w14:textFill>
                  <w14:solidFill>
                    <w14:schemeClr w14:val="tx1"/>
                  </w14:solidFill>
                </w14:textFill>
              </w:rPr>
              <w:t>商务部分</w:t>
            </w:r>
          </w:p>
        </w:tc>
        <w:tc>
          <w:tcPr>
            <w:tcW w:w="2504" w:type="dxa"/>
            <w:vAlign w:val="center"/>
          </w:tcPr>
          <w:p>
            <w:pPr>
              <w:snapToGrid w:val="0"/>
              <w:spacing w:line="400" w:lineRule="atLeast"/>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198" w:type="dxa"/>
            <w:vAlign w:val="center"/>
          </w:tcPr>
          <w:p>
            <w:pPr>
              <w:snapToGrid w:val="0"/>
              <w:spacing w:line="40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p>
        </w:tc>
        <w:tc>
          <w:tcPr>
            <w:tcW w:w="5358" w:type="dxa"/>
            <w:vAlign w:val="center"/>
          </w:tcPr>
          <w:p>
            <w:pPr>
              <w:snapToGrid w:val="0"/>
              <w:spacing w:line="40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pacing w:val="-2"/>
                <w:sz w:val="24"/>
                <w:szCs w:val="24"/>
                <w14:textFill>
                  <w14:solidFill>
                    <w14:schemeClr w14:val="tx1"/>
                  </w14:solidFill>
                </w14:textFill>
              </w:rPr>
              <w:t>报    价</w:t>
            </w:r>
          </w:p>
        </w:tc>
        <w:tc>
          <w:tcPr>
            <w:tcW w:w="2504" w:type="dxa"/>
            <w:vAlign w:val="center"/>
          </w:tcPr>
          <w:p>
            <w:pPr>
              <w:snapToGrid w:val="0"/>
              <w:spacing w:line="40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7</w:t>
            </w:r>
            <w:r>
              <w:rPr>
                <w:rFonts w:ascii="宋体" w:hAnsi="宋体"/>
                <w:color w:val="000000" w:themeColor="text1"/>
                <w:sz w:val="24"/>
                <w:szCs w:val="24"/>
                <w14:textFill>
                  <w14:solidFill>
                    <w14:schemeClr w14:val="tx1"/>
                  </w14:solidFill>
                </w14:textFill>
              </w:rPr>
              <w:t>0</w:t>
            </w:r>
          </w:p>
        </w:tc>
      </w:tr>
    </w:tbl>
    <w:p>
      <w:pPr>
        <w:spacing w:line="460" w:lineRule="exact"/>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注:技术和商务部分的最终得分为各个评委评分的算术平均值，并四舍五入取小数点后2位数。②评委评分取小数点后1位数。</w:t>
      </w:r>
    </w:p>
    <w:p>
      <w:pPr>
        <w:snapToGrid w:val="0"/>
        <w:spacing w:line="460" w:lineRule="exact"/>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（1）技术部分（满分</w:t>
      </w:r>
      <w:r>
        <w:rPr>
          <w:rFonts w:ascii="宋体" w:hAnsi="宋体"/>
          <w:b/>
          <w:bCs/>
          <w:color w:val="000000" w:themeColor="text1"/>
          <w:sz w:val="24"/>
          <w:szCs w:val="24"/>
          <w14:textFill>
            <w14:solidFill>
              <w14:schemeClr w14:val="tx1"/>
            </w14:solidFill>
          </w14:textFill>
        </w:rPr>
        <w:t>30</w:t>
      </w:r>
      <w:r>
        <w:rPr>
          <w:rFonts w:hint="eastAsia" w:ascii="宋体" w:hAnsi="宋体"/>
          <w:b/>
          <w:bCs/>
          <w:color w:val="000000" w:themeColor="text1"/>
          <w:sz w:val="24"/>
          <w:szCs w:val="24"/>
          <w14:textFill>
            <w14:solidFill>
              <w14:schemeClr w14:val="tx1"/>
            </w14:solidFill>
          </w14:textFill>
        </w:rPr>
        <w:t>分）</w:t>
      </w:r>
    </w:p>
    <w:tbl>
      <w:tblPr>
        <w:tblStyle w:val="9"/>
        <w:tblW w:w="90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1523"/>
        <w:gridCol w:w="945"/>
        <w:gridCol w:w="57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序号</w:t>
            </w:r>
          </w:p>
        </w:tc>
        <w:tc>
          <w:tcPr>
            <w:tcW w:w="1523"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评分指标</w:t>
            </w:r>
          </w:p>
        </w:tc>
        <w:tc>
          <w:tcPr>
            <w:tcW w:w="945"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满分</w:t>
            </w:r>
          </w:p>
        </w:tc>
        <w:tc>
          <w:tcPr>
            <w:tcW w:w="5791"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评分说明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trPr>
        <w:tc>
          <w:tcPr>
            <w:tcW w:w="828" w:type="dxa"/>
            <w:tcBorders>
              <w:top w:val="single" w:color="000000" w:sz="4" w:space="0"/>
              <w:left w:val="single" w:color="auto" w:sz="4" w:space="0"/>
              <w:bottom w:val="single" w:color="auto" w:sz="4" w:space="0"/>
              <w:right w:val="single" w:color="000000" w:sz="4" w:space="0"/>
            </w:tcBorders>
            <w:vAlign w:val="center"/>
          </w:tcPr>
          <w:p>
            <w:pPr>
              <w:snapToGrid w:val="0"/>
              <w:spacing w:line="46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1523" w:type="dxa"/>
            <w:tcBorders>
              <w:top w:val="single" w:color="000000" w:sz="4" w:space="0"/>
              <w:left w:val="single" w:color="000000" w:sz="4" w:space="0"/>
              <w:bottom w:val="single" w:color="auto" w:sz="4" w:space="0"/>
              <w:right w:val="single" w:color="000000" w:sz="4" w:space="0"/>
            </w:tcBorders>
            <w:vAlign w:val="center"/>
          </w:tcPr>
          <w:p>
            <w:pPr>
              <w:snapToGrid w:val="0"/>
              <w:jc w:val="center"/>
              <w:rPr>
                <w:rFonts w:ascii="宋体" w:hAnsi="宋体"/>
                <w:sz w:val="24"/>
                <w:szCs w:val="24"/>
              </w:rPr>
            </w:pPr>
            <w:r>
              <w:rPr>
                <w:rFonts w:hint="eastAsia" w:ascii="宋体" w:hAnsi="宋体" w:cs="宋体"/>
                <w:sz w:val="24"/>
                <w:szCs w:val="24"/>
              </w:rPr>
              <w:t>货物技术性能质量、先进性、安全可靠性、适用性</w:t>
            </w:r>
          </w:p>
        </w:tc>
        <w:tc>
          <w:tcPr>
            <w:tcW w:w="945" w:type="dxa"/>
            <w:tcBorders>
              <w:top w:val="single" w:color="000000" w:sz="4" w:space="0"/>
              <w:left w:val="single" w:color="000000" w:sz="4" w:space="0"/>
              <w:bottom w:val="single" w:color="auto" w:sz="4" w:space="0"/>
              <w:right w:val="single" w:color="000000" w:sz="4" w:space="0"/>
            </w:tcBorders>
            <w:vAlign w:val="center"/>
          </w:tcPr>
          <w:p>
            <w:pPr>
              <w:snapToGrid w:val="0"/>
              <w:jc w:val="center"/>
              <w:rPr>
                <w:rFonts w:ascii="宋体" w:hAnsi="宋体"/>
                <w:sz w:val="24"/>
                <w:szCs w:val="24"/>
              </w:rPr>
            </w:pPr>
            <w:r>
              <w:rPr>
                <w:rFonts w:hint="eastAsia" w:ascii="宋体" w:hAnsi="宋体"/>
                <w:sz w:val="24"/>
                <w:szCs w:val="24"/>
                <w:lang w:val="en-US" w:eastAsia="zh-CN"/>
              </w:rPr>
              <w:t>25</w:t>
            </w:r>
            <w:r>
              <w:rPr>
                <w:rFonts w:hint="eastAsia" w:ascii="宋体" w:hAnsi="宋体"/>
                <w:sz w:val="24"/>
                <w:szCs w:val="24"/>
              </w:rPr>
              <w:t>分</w:t>
            </w:r>
          </w:p>
        </w:tc>
        <w:tc>
          <w:tcPr>
            <w:tcW w:w="5791" w:type="dxa"/>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Fonts w:ascii="宋体" w:hAnsi="宋体" w:cs="宋体"/>
                <w:color w:val="000000"/>
                <w:kern w:val="0"/>
                <w:sz w:val="24"/>
                <w:szCs w:val="24"/>
              </w:rPr>
            </w:pPr>
            <w:r>
              <w:rPr>
                <w:rFonts w:hint="eastAsia" w:ascii="宋体" w:hAnsi="宋体"/>
                <w:sz w:val="24"/>
                <w:szCs w:val="24"/>
              </w:rPr>
              <w:t>技术性能及功能响应（</w:t>
            </w:r>
            <w:r>
              <w:rPr>
                <w:rFonts w:hint="eastAsia" w:ascii="宋体" w:hAnsi="宋体"/>
                <w:sz w:val="24"/>
                <w:szCs w:val="24"/>
                <w:lang w:val="en-US" w:eastAsia="zh-CN"/>
              </w:rPr>
              <w:t>25</w:t>
            </w:r>
            <w:r>
              <w:rPr>
                <w:rFonts w:hint="eastAsia" w:ascii="宋体" w:hAnsi="宋体"/>
                <w:sz w:val="24"/>
                <w:szCs w:val="24"/>
              </w:rPr>
              <w:t>分）：根据投标人所投系统设备的技术性能、指标、功能配置对招标文件 “技术指标要求”的逐项响应情况</w:t>
            </w:r>
            <w:r>
              <w:rPr>
                <w:rFonts w:ascii="宋体" w:hAnsi="宋体" w:cs="宋体"/>
                <w:color w:val="000000"/>
                <w:kern w:val="0"/>
                <w:sz w:val="24"/>
                <w:szCs w:val="24"/>
              </w:rPr>
              <w:t>，由评委进行评议并评分, 完全满足招标文件技术</w:t>
            </w:r>
            <w:r>
              <w:rPr>
                <w:rFonts w:hint="eastAsia" w:ascii="宋体" w:hAnsi="宋体" w:cs="宋体"/>
                <w:color w:val="000000"/>
                <w:kern w:val="0"/>
                <w:sz w:val="24"/>
                <w:szCs w:val="24"/>
              </w:rPr>
              <w:t>要求</w:t>
            </w:r>
            <w:r>
              <w:rPr>
                <w:rFonts w:ascii="宋体" w:hAnsi="宋体" w:cs="宋体"/>
                <w:color w:val="000000"/>
                <w:kern w:val="0"/>
                <w:sz w:val="24"/>
                <w:szCs w:val="24"/>
              </w:rPr>
              <w:t>的得</w:t>
            </w:r>
            <w:r>
              <w:rPr>
                <w:rFonts w:hint="eastAsia" w:ascii="宋体" w:hAnsi="宋体" w:cs="宋体"/>
                <w:color w:val="000000"/>
                <w:kern w:val="0"/>
                <w:sz w:val="24"/>
                <w:szCs w:val="24"/>
                <w:lang w:val="en-US" w:eastAsia="zh-CN"/>
              </w:rPr>
              <w:t>25</w:t>
            </w:r>
            <w:r>
              <w:rPr>
                <w:rFonts w:ascii="宋体" w:hAnsi="宋体" w:cs="宋体"/>
                <w:color w:val="000000"/>
                <w:kern w:val="0"/>
                <w:sz w:val="24"/>
                <w:szCs w:val="24"/>
              </w:rPr>
              <w:t>分</w:t>
            </w:r>
            <w:r>
              <w:rPr>
                <w:rFonts w:hint="eastAsia" w:ascii="宋体" w:hAnsi="宋体" w:cs="宋体"/>
                <w:color w:val="000000"/>
                <w:kern w:val="0"/>
                <w:sz w:val="24"/>
                <w:szCs w:val="24"/>
              </w:rPr>
              <w:t>，存在</w:t>
            </w:r>
            <w:r>
              <w:rPr>
                <w:rFonts w:ascii="宋体" w:hAnsi="宋体" w:cs="宋体"/>
                <w:color w:val="000000"/>
                <w:kern w:val="0"/>
                <w:sz w:val="24"/>
                <w:szCs w:val="24"/>
              </w:rPr>
              <w:t>负偏离</w:t>
            </w:r>
            <w:r>
              <w:rPr>
                <w:rFonts w:hint="eastAsia" w:ascii="宋体" w:hAnsi="宋体" w:cs="宋体"/>
                <w:color w:val="000000"/>
                <w:kern w:val="0"/>
                <w:sz w:val="24"/>
                <w:szCs w:val="24"/>
              </w:rPr>
              <w:t>的，每负偏离</w:t>
            </w:r>
            <w:r>
              <w:rPr>
                <w:rFonts w:ascii="宋体" w:hAnsi="宋体" w:cs="宋体"/>
                <w:color w:val="000000"/>
                <w:kern w:val="0"/>
                <w:sz w:val="24"/>
                <w:szCs w:val="24"/>
              </w:rPr>
              <w:t>一项扣0.5分，</w:t>
            </w:r>
            <w:r>
              <w:rPr>
                <w:rFonts w:hint="eastAsia" w:ascii="宋体" w:hAnsi="宋体" w:cs="宋体"/>
                <w:color w:val="000000"/>
                <w:kern w:val="0"/>
                <w:sz w:val="24"/>
                <w:szCs w:val="24"/>
              </w:rPr>
              <w:t>扣完为止。投标人应将所有负偏离项填写在《技术偏离表》中.</w:t>
            </w:r>
          </w:p>
          <w:p>
            <w:pPr>
              <w:spacing w:line="46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s="宋体"/>
                <w:color w:val="000000"/>
                <w:kern w:val="0"/>
                <w:sz w:val="24"/>
                <w:szCs w:val="24"/>
              </w:rPr>
              <w:t>备注：投标人应如实填写《技术要求响应表》，并对技术规格书的各项技术要求进行逐项响应填写，每一项均应将具体响应的内容写出来，而不是简单地填写“响应”或“偏离”等，否则评委将作出不利评判。带“</w:t>
            </w:r>
            <w:r>
              <w:rPr>
                <w:rFonts w:hint="eastAsia" w:ascii="宋体" w:hAnsi="宋体"/>
                <w:color w:val="000000" w:themeColor="text1"/>
                <w:sz w:val="18"/>
                <w:szCs w:val="18"/>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必须满足，如不满足废标。</w:t>
            </w:r>
          </w:p>
          <w:p>
            <w:pPr>
              <w:spacing w:line="460" w:lineRule="exact"/>
              <w:ind w:firstLine="480" w:firstLineChars="200"/>
              <w:rPr>
                <w:rFonts w:ascii="宋体" w:hAnsi="宋体"/>
                <w:color w:val="000000" w:themeColor="text1"/>
                <w:sz w:val="24"/>
                <w:szCs w:val="24"/>
                <w14:textFill>
                  <w14:solidFill>
                    <w14:schemeClr w14:val="tx1"/>
                  </w14:solidFill>
                </w14:textFill>
              </w:rPr>
            </w:pPr>
          </w:p>
          <w:p>
            <w:pPr>
              <w:spacing w:line="460" w:lineRule="exact"/>
              <w:ind w:firstLine="480" w:firstLineChars="200"/>
              <w:rPr>
                <w:rFonts w:ascii="宋体" w:hAnsi="宋体"/>
                <w:color w:val="000000" w:themeColor="text1"/>
                <w:sz w:val="24"/>
                <w:szCs w:val="24"/>
                <w14:textFill>
                  <w14:solidFill>
                    <w14:schemeClr w14:val="tx1"/>
                  </w14:solidFill>
                </w14:textFill>
              </w:rPr>
            </w:pPr>
          </w:p>
          <w:p>
            <w:pPr>
              <w:spacing w:line="460" w:lineRule="exact"/>
              <w:ind w:firstLine="480" w:firstLineChars="200"/>
              <w:rPr>
                <w:rFonts w:ascii="宋体" w:hAnsi="宋体"/>
                <w:color w:val="000000" w:themeColor="text1"/>
                <w:sz w:val="24"/>
                <w:szCs w:val="24"/>
                <w14:textFill>
                  <w14:solidFill>
                    <w14:schemeClr w14:val="tx1"/>
                  </w14:solidFill>
                </w14:textFill>
              </w:rPr>
            </w:pPr>
          </w:p>
        </w:tc>
      </w:tr>
    </w:tbl>
    <w:p>
      <w:pPr>
        <w:snapToGrid w:val="0"/>
        <w:spacing w:line="460" w:lineRule="exact"/>
        <w:rPr>
          <w:rFonts w:ascii="宋体" w:hAnsi="宋体"/>
          <w:b/>
          <w:bCs/>
          <w:color w:val="000000" w:themeColor="text1"/>
          <w:spacing w:val="-2"/>
          <w:sz w:val="24"/>
          <w:szCs w:val="24"/>
          <w14:textFill>
            <w14:solidFill>
              <w14:schemeClr w14:val="tx1"/>
            </w14:solidFill>
          </w14:textFill>
        </w:rPr>
      </w:pPr>
      <w:r>
        <w:rPr>
          <w:rFonts w:hint="eastAsia" w:ascii="宋体" w:hAnsi="宋体"/>
          <w:b/>
          <w:bCs/>
          <w:color w:val="000000" w:themeColor="text1"/>
          <w:spacing w:val="-2"/>
          <w:sz w:val="24"/>
          <w:szCs w:val="24"/>
          <w14:textFill>
            <w14:solidFill>
              <w14:schemeClr w14:val="tx1"/>
            </w14:solidFill>
          </w14:textFill>
        </w:rPr>
        <w:t>（2）商务部分（满分</w:t>
      </w:r>
      <w:r>
        <w:rPr>
          <w:rFonts w:hint="eastAsia" w:ascii="宋体" w:hAnsi="宋体"/>
          <w:b/>
          <w:bCs/>
          <w:color w:val="000000" w:themeColor="text1"/>
          <w:spacing w:val="-2"/>
          <w:sz w:val="24"/>
          <w:szCs w:val="24"/>
          <w:lang w:val="en-US" w:eastAsia="zh-CN"/>
          <w14:textFill>
            <w14:solidFill>
              <w14:schemeClr w14:val="tx1"/>
            </w14:solidFill>
          </w14:textFill>
        </w:rPr>
        <w:t>5</w:t>
      </w:r>
      <w:r>
        <w:rPr>
          <w:rFonts w:hint="eastAsia" w:ascii="宋体" w:hAnsi="宋体"/>
          <w:b/>
          <w:bCs/>
          <w:color w:val="000000" w:themeColor="text1"/>
          <w:spacing w:val="-2"/>
          <w:sz w:val="24"/>
          <w:szCs w:val="24"/>
          <w14:textFill>
            <w14:solidFill>
              <w14:schemeClr w14:val="tx1"/>
            </w14:solidFill>
          </w14:textFill>
        </w:rPr>
        <w:t>分）</w:t>
      </w:r>
    </w:p>
    <w:tbl>
      <w:tblPr>
        <w:tblStyle w:val="9"/>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2"/>
        <w:gridCol w:w="2047"/>
        <w:gridCol w:w="881"/>
        <w:gridCol w:w="54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70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6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序号</w:t>
            </w:r>
          </w:p>
        </w:tc>
        <w:tc>
          <w:tcPr>
            <w:tcW w:w="204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6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评分指标</w:t>
            </w:r>
          </w:p>
        </w:tc>
        <w:tc>
          <w:tcPr>
            <w:tcW w:w="88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6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满分</w:t>
            </w:r>
          </w:p>
        </w:tc>
        <w:tc>
          <w:tcPr>
            <w:tcW w:w="54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6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评分说明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0" w:hRule="atLeast"/>
        </w:trPr>
        <w:tc>
          <w:tcPr>
            <w:tcW w:w="70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6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204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6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投标人综合实力</w:t>
            </w:r>
          </w:p>
        </w:tc>
        <w:tc>
          <w:tcPr>
            <w:tcW w:w="88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6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分</w:t>
            </w:r>
          </w:p>
        </w:tc>
        <w:tc>
          <w:tcPr>
            <w:tcW w:w="543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adjustRightInd w:val="0"/>
              <w:snapToGrid w:val="0"/>
              <w:spacing w:line="460" w:lineRule="exact"/>
              <w:ind w:firstLine="480" w:firstLineChars="200"/>
            </w:pPr>
            <w:r>
              <w:rPr>
                <w:rFonts w:hint="eastAsia" w:ascii="宋体" w:hAnsi="宋体" w:cs="宋体"/>
                <w:color w:val="000000" w:themeColor="text1"/>
                <w:sz w:val="24"/>
                <w:szCs w:val="24"/>
                <w14:textFill>
                  <w14:solidFill>
                    <w14:schemeClr w14:val="tx1"/>
                  </w14:solidFill>
                </w14:textFill>
              </w:rPr>
              <w:t>根据投标人企业规模、企业优势、企业的专业性、企业技术力量、企业履行合同的能力和用户反馈评价的良好记录以及近三年（20</w:t>
            </w:r>
            <w:r>
              <w:rPr>
                <w:rFonts w:ascii="宋体" w:hAnsi="宋体" w:cs="宋体"/>
                <w:color w:val="000000" w:themeColor="text1"/>
                <w:sz w:val="24"/>
                <w:szCs w:val="24"/>
                <w14:textFill>
                  <w14:solidFill>
                    <w14:schemeClr w14:val="tx1"/>
                  </w14:solidFill>
                </w14:textFill>
              </w:rPr>
              <w:t>20</w:t>
            </w:r>
            <w:r>
              <w:rPr>
                <w:rFonts w:hint="eastAsia" w:ascii="宋体" w:hAnsi="宋体" w:cs="宋体"/>
                <w:color w:val="000000" w:themeColor="text1"/>
                <w:sz w:val="24"/>
                <w:szCs w:val="24"/>
                <w14:textFill>
                  <w14:solidFill>
                    <w14:schemeClr w14:val="tx1"/>
                  </w14:solidFill>
                </w14:textFill>
              </w:rPr>
              <w:t>年～202</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年）财务报表状况、银行资信等方面情况，由评委进行评议并在0-</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分之间进行评分。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 w:hRule="atLeast"/>
        </w:trPr>
        <w:tc>
          <w:tcPr>
            <w:tcW w:w="70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6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204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6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投标人资质</w:t>
            </w:r>
          </w:p>
        </w:tc>
        <w:tc>
          <w:tcPr>
            <w:tcW w:w="88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6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分</w:t>
            </w:r>
          </w:p>
        </w:tc>
        <w:tc>
          <w:tcPr>
            <w:tcW w:w="543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adjustRightInd w:val="0"/>
              <w:snapToGrid w:val="0"/>
              <w:spacing w:line="46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由评委根据投标人在售后服务项目内容情况、售后服务人员配置情况、故障报修响应时间、技术培训内容情况、在维修保养方案等方面的承诺在0-</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分之间进行打分。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 w:hRule="atLeast"/>
        </w:trPr>
        <w:tc>
          <w:tcPr>
            <w:tcW w:w="70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6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p>
        </w:tc>
        <w:tc>
          <w:tcPr>
            <w:tcW w:w="204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60" w:lineRule="exact"/>
              <w:jc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投标人类似项目业绩</w:t>
            </w:r>
          </w:p>
        </w:tc>
        <w:tc>
          <w:tcPr>
            <w:tcW w:w="88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6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分</w:t>
            </w:r>
          </w:p>
        </w:tc>
        <w:tc>
          <w:tcPr>
            <w:tcW w:w="5437" w:type="dxa"/>
            <w:tcBorders>
              <w:top w:val="single" w:color="000000" w:sz="4" w:space="0"/>
              <w:left w:val="single" w:color="000000" w:sz="4" w:space="0"/>
              <w:bottom w:val="single" w:color="000000" w:sz="4" w:space="0"/>
              <w:right w:val="single" w:color="000000" w:sz="4" w:space="0"/>
            </w:tcBorders>
            <w:vAlign w:val="center"/>
          </w:tcPr>
          <w:p>
            <w:pPr>
              <w:tabs>
                <w:tab w:val="left" w:pos="4197"/>
              </w:tabs>
              <w:adjustRightInd w:val="0"/>
              <w:snapToGrid w:val="0"/>
              <w:spacing w:line="460" w:lineRule="exact"/>
              <w:ind w:firstLine="480" w:firstLineChars="200"/>
              <w:rPr>
                <w:rFonts w:ascii="宋体" w:hAnsi="宋体"/>
                <w:sz w:val="24"/>
                <w:szCs w:val="24"/>
              </w:rPr>
            </w:pPr>
            <w:r>
              <w:rPr>
                <w:rFonts w:hint="eastAsia" w:ascii="宋体" w:hAnsi="宋体"/>
                <w:sz w:val="24"/>
                <w:szCs w:val="24"/>
              </w:rPr>
              <w:t>根据</w:t>
            </w:r>
            <w:r>
              <w:rPr>
                <w:rFonts w:hint="eastAsia" w:ascii="宋体" w:hAnsi="宋体" w:cs="宋体"/>
                <w:sz w:val="24"/>
                <w:szCs w:val="24"/>
              </w:rPr>
              <w:t>自本招标项目在法定媒介发布招标公告之日的前五年内（不含在法定媒介发布招标公告之日），投标人在中华人民共和国国境内（不含</w:t>
            </w:r>
            <w:r>
              <w:rPr>
                <w:rFonts w:hint="eastAsia" w:ascii="宋体" w:hAnsi="宋体" w:cs="宋体"/>
                <w:sz w:val="24"/>
                <w:szCs w:val="24"/>
                <w:highlight w:val="yellow"/>
              </w:rPr>
              <w:t>港、澳、台地区）承揽的类似项目业绩情况</w:t>
            </w:r>
            <w:r>
              <w:rPr>
                <w:rFonts w:hint="eastAsia" w:ascii="宋体" w:hAnsi="宋体"/>
                <w:sz w:val="24"/>
                <w:szCs w:val="24"/>
                <w:highlight w:val="yellow"/>
              </w:rPr>
              <w:t>，在0-</w:t>
            </w:r>
            <w:r>
              <w:rPr>
                <w:rFonts w:hint="eastAsia" w:ascii="宋体" w:hAnsi="宋体"/>
                <w:sz w:val="24"/>
                <w:szCs w:val="24"/>
                <w:highlight w:val="yellow"/>
                <w:lang w:val="en-US" w:eastAsia="zh-CN"/>
              </w:rPr>
              <w:t>1</w:t>
            </w:r>
            <w:r>
              <w:rPr>
                <w:rFonts w:hint="eastAsia" w:ascii="宋体" w:hAnsi="宋体"/>
                <w:sz w:val="24"/>
                <w:szCs w:val="24"/>
                <w:highlight w:val="yellow"/>
              </w:rPr>
              <w:t>分之间评分。</w:t>
            </w:r>
            <w:r>
              <w:rPr>
                <w:rFonts w:hint="eastAsia" w:ascii="宋体" w:hAnsi="宋体"/>
                <w:sz w:val="24"/>
                <w:szCs w:val="24"/>
              </w:rPr>
              <w:t>投标人应在投标文件中列出类似项目业绩且</w:t>
            </w:r>
            <w:r>
              <w:rPr>
                <w:rFonts w:ascii="宋体" w:hAnsi="宋体"/>
                <w:sz w:val="24"/>
                <w:szCs w:val="24"/>
              </w:rPr>
              <w:t>写明用户的单位名称、联系人、联系电话，以方便评委随时抽查</w:t>
            </w:r>
            <w:r>
              <w:rPr>
                <w:rFonts w:hint="eastAsia" w:ascii="宋体" w:hAnsi="宋体"/>
                <w:sz w:val="24"/>
                <w:szCs w:val="24"/>
              </w:rPr>
              <w:t>。</w:t>
            </w:r>
          </w:p>
          <w:p>
            <w:pPr>
              <w:adjustRightInd w:val="0"/>
              <w:snapToGrid w:val="0"/>
              <w:spacing w:line="460" w:lineRule="exact"/>
              <w:ind w:firstLine="482" w:firstLineChars="200"/>
              <w:rPr>
                <w:rFonts w:ascii="宋体" w:hAnsi="宋体"/>
                <w:b/>
                <w:bCs/>
                <w:sz w:val="24"/>
                <w:szCs w:val="24"/>
              </w:rPr>
            </w:pPr>
            <w:r>
              <w:rPr>
                <w:rFonts w:hint="eastAsia" w:ascii="宋体" w:hAnsi="宋体"/>
                <w:b/>
                <w:bCs/>
                <w:sz w:val="24"/>
                <w:szCs w:val="24"/>
              </w:rPr>
              <w:t>备注：投标人应在投标文件中附上能够体现业绩项目特征的其所报业绩的合同复印件。</w:t>
            </w:r>
          </w:p>
          <w:p>
            <w:pPr>
              <w:numPr>
                <w:ilvl w:val="255"/>
                <w:numId w:val="0"/>
              </w:numPr>
              <w:adjustRightInd w:val="0"/>
              <w:snapToGrid w:val="0"/>
              <w:spacing w:line="460" w:lineRule="exact"/>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b/>
                <w:bCs/>
                <w:sz w:val="24"/>
                <w:szCs w:val="24"/>
              </w:rPr>
              <w:t>说明：投标人应对申报业绩的真实性和准确性负责。在招标过程中，招标人和招标代理有权对投标人申报的项目业绩进行核实和澄清，若投标人所申报资料内容有失实情况，则该投标人即被取消投标或中标资格。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2" w:type="dxa"/>
            <w:tcBorders>
              <w:top w:val="single" w:color="000000" w:sz="4" w:space="0"/>
              <w:left w:val="single" w:color="000000" w:sz="4" w:space="0"/>
              <w:bottom w:val="single" w:color="auto" w:sz="4" w:space="0"/>
              <w:right w:val="single" w:color="000000" w:sz="4" w:space="0"/>
            </w:tcBorders>
            <w:vAlign w:val="center"/>
          </w:tcPr>
          <w:p>
            <w:pPr>
              <w:adjustRightInd w:val="0"/>
              <w:snapToGrid w:val="0"/>
              <w:spacing w:line="46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p>
        </w:tc>
        <w:tc>
          <w:tcPr>
            <w:tcW w:w="2047" w:type="dxa"/>
            <w:tcBorders>
              <w:top w:val="single" w:color="000000" w:sz="4" w:space="0"/>
              <w:left w:val="single" w:color="000000" w:sz="4" w:space="0"/>
              <w:bottom w:val="single" w:color="auto" w:sz="4" w:space="0"/>
              <w:right w:val="single" w:color="000000" w:sz="4" w:space="0"/>
            </w:tcBorders>
            <w:vAlign w:val="center"/>
          </w:tcPr>
          <w:p>
            <w:pPr>
              <w:adjustRightInd w:val="0"/>
              <w:snapToGrid w:val="0"/>
              <w:spacing w:line="46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投标人所投产品成熟性</w:t>
            </w:r>
          </w:p>
        </w:tc>
        <w:tc>
          <w:tcPr>
            <w:tcW w:w="881" w:type="dxa"/>
            <w:tcBorders>
              <w:top w:val="single" w:color="000000" w:sz="4" w:space="0"/>
              <w:left w:val="single" w:color="000000" w:sz="4" w:space="0"/>
              <w:bottom w:val="single" w:color="auto" w:sz="4" w:space="0"/>
              <w:right w:val="single" w:color="000000" w:sz="4" w:space="0"/>
            </w:tcBorders>
            <w:vAlign w:val="center"/>
          </w:tcPr>
          <w:p>
            <w:pPr>
              <w:adjustRightInd w:val="0"/>
              <w:snapToGrid w:val="0"/>
              <w:spacing w:line="46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分</w:t>
            </w:r>
          </w:p>
        </w:tc>
        <w:tc>
          <w:tcPr>
            <w:tcW w:w="5437" w:type="dxa"/>
            <w:tcBorders>
              <w:top w:val="single" w:color="000000" w:sz="4" w:space="0"/>
              <w:left w:val="single" w:color="000000" w:sz="4" w:space="0"/>
              <w:bottom w:val="single" w:color="auto" w:sz="4" w:space="0"/>
              <w:right w:val="single" w:color="000000" w:sz="4" w:space="0"/>
            </w:tcBorders>
            <w:vAlign w:val="center"/>
          </w:tcPr>
          <w:p>
            <w:pPr>
              <w:tabs>
                <w:tab w:val="left" w:pos="4197"/>
              </w:tabs>
              <w:adjustRightInd w:val="0"/>
              <w:snapToGrid w:val="0"/>
              <w:spacing w:line="46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为证明产品方案的成熟性与先进性，所投零信任产品应在《IDC中国零信任网络访问解决方案市场份额，2022》中位列前茅，并出具由 IDC盖章确认的证明文件，排名第1得</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分，排名第 2~5名得</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分，排名低于第5名得</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cs="宋体"/>
                <w:color w:val="000000" w:themeColor="text1"/>
                <w:sz w:val="24"/>
                <w:szCs w:val="24"/>
                <w14:textFill>
                  <w14:solidFill>
                    <w14:schemeClr w14:val="tx1"/>
                  </w14:solidFill>
                </w14:textFill>
              </w:rPr>
              <w:t>分，不提供不得分。</w:t>
            </w:r>
          </w:p>
        </w:tc>
      </w:tr>
    </w:tbl>
    <w:p>
      <w:pPr>
        <w:snapToGrid w:val="0"/>
        <w:spacing w:line="500" w:lineRule="exact"/>
        <w:ind w:firstLine="474" w:firstLineChars="200"/>
        <w:rPr>
          <w:rFonts w:ascii="宋体" w:hAnsi="宋体"/>
          <w:b/>
          <w:bCs/>
          <w:color w:val="000000" w:themeColor="text1"/>
          <w:spacing w:val="-2"/>
          <w:sz w:val="24"/>
          <w:szCs w:val="24"/>
          <w14:textFill>
            <w14:solidFill>
              <w14:schemeClr w14:val="tx1"/>
            </w14:solidFill>
          </w14:textFill>
        </w:rPr>
      </w:pPr>
      <w:r>
        <w:rPr>
          <w:rFonts w:hint="eastAsia" w:ascii="宋体" w:hAnsi="宋体"/>
          <w:b/>
          <w:bCs/>
          <w:color w:val="000000" w:themeColor="text1"/>
          <w:spacing w:val="-2"/>
          <w:sz w:val="24"/>
          <w:szCs w:val="24"/>
          <w14:textFill>
            <w14:solidFill>
              <w14:schemeClr w14:val="tx1"/>
            </w14:solidFill>
          </w14:textFill>
        </w:rPr>
        <w:t>（3）报价评分（满分</w:t>
      </w:r>
      <w:r>
        <w:rPr>
          <w:rFonts w:ascii="宋体" w:hAnsi="宋体"/>
          <w:b/>
          <w:bCs/>
          <w:color w:val="000000" w:themeColor="text1"/>
          <w:spacing w:val="-2"/>
          <w:sz w:val="24"/>
          <w:szCs w:val="24"/>
          <w14:textFill>
            <w14:solidFill>
              <w14:schemeClr w14:val="tx1"/>
            </w14:solidFill>
          </w14:textFill>
        </w:rPr>
        <w:t>60</w:t>
      </w:r>
      <w:r>
        <w:rPr>
          <w:rFonts w:hint="eastAsia" w:ascii="宋体" w:hAnsi="宋体"/>
          <w:b/>
          <w:bCs/>
          <w:color w:val="000000" w:themeColor="text1"/>
          <w:spacing w:val="-2"/>
          <w:sz w:val="24"/>
          <w:szCs w:val="24"/>
          <w14:textFill>
            <w14:solidFill>
              <w14:schemeClr w14:val="tx1"/>
            </w14:solidFill>
          </w14:textFill>
        </w:rPr>
        <w:t>分）</w:t>
      </w:r>
    </w:p>
    <w:p>
      <w:pPr>
        <w:snapToGrid w:val="0"/>
        <w:spacing w:line="500" w:lineRule="exact"/>
        <w:ind w:firstLine="472" w:firstLineChars="200"/>
        <w:rPr>
          <w:rFonts w:ascii="宋体" w:hAnsi="宋体"/>
          <w:bCs/>
          <w:color w:val="000000" w:themeColor="text1"/>
          <w:spacing w:val="-2"/>
          <w:sz w:val="24"/>
          <w:szCs w:val="24"/>
          <w14:textFill>
            <w14:solidFill>
              <w14:schemeClr w14:val="tx1"/>
            </w14:solidFill>
          </w14:textFill>
        </w:rPr>
      </w:pPr>
      <w:r>
        <w:rPr>
          <w:rFonts w:ascii="宋体" w:hAnsi="宋体"/>
          <w:bCs/>
          <w:color w:val="000000" w:themeColor="text1"/>
          <w:spacing w:val="-2"/>
          <w:sz w:val="24"/>
          <w:szCs w:val="24"/>
          <w14:textFill>
            <w14:solidFill>
              <w14:schemeClr w14:val="tx1"/>
            </w14:solidFill>
          </w14:textFill>
        </w:rPr>
        <w:t>报价评分规则由采购制定。</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C94F8E"/>
    <w:multiLevelType w:val="multilevel"/>
    <w:tmpl w:val="51C94F8E"/>
    <w:lvl w:ilvl="0" w:tentative="0">
      <w:start w:val="1"/>
      <w:numFmt w:val="decimal"/>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5NmYxMTZjZGRhOGE2MTg0YTI3ZTU4MDg0ZGNhYTEifQ=="/>
  </w:docVars>
  <w:rsids>
    <w:rsidRoot w:val="00531632"/>
    <w:rsid w:val="00014AEF"/>
    <w:rsid w:val="000B22DB"/>
    <w:rsid w:val="000C30FD"/>
    <w:rsid w:val="00330803"/>
    <w:rsid w:val="00384255"/>
    <w:rsid w:val="003F3AEF"/>
    <w:rsid w:val="004A46D9"/>
    <w:rsid w:val="004D42AB"/>
    <w:rsid w:val="004F21FD"/>
    <w:rsid w:val="00531632"/>
    <w:rsid w:val="00654318"/>
    <w:rsid w:val="00682663"/>
    <w:rsid w:val="00714470"/>
    <w:rsid w:val="007F1DBD"/>
    <w:rsid w:val="00823F83"/>
    <w:rsid w:val="00883433"/>
    <w:rsid w:val="008B5995"/>
    <w:rsid w:val="00904B03"/>
    <w:rsid w:val="00A25575"/>
    <w:rsid w:val="00BC6300"/>
    <w:rsid w:val="00BC687E"/>
    <w:rsid w:val="00C93136"/>
    <w:rsid w:val="00CA113E"/>
    <w:rsid w:val="00D028FF"/>
    <w:rsid w:val="00E277CE"/>
    <w:rsid w:val="00E858D2"/>
    <w:rsid w:val="00EB1FBC"/>
    <w:rsid w:val="00EE7345"/>
    <w:rsid w:val="2FA70B01"/>
    <w:rsid w:val="32C75055"/>
    <w:rsid w:val="798A2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widowControl/>
      <w:tabs>
        <w:tab w:val="left" w:pos="0"/>
        <w:tab w:val="left" w:pos="993"/>
        <w:tab w:val="left" w:pos="1134"/>
      </w:tabs>
      <w:spacing w:line="500" w:lineRule="exact"/>
      <w:ind w:firstLine="567"/>
    </w:pPr>
    <w:rPr>
      <w:rFonts w:ascii="宋体" w:eastAsiaTheme="minorEastAsia" w:cstheme="minorBidi"/>
      <w:sz w:val="28"/>
      <w:szCs w:val="22"/>
    </w:rPr>
  </w:style>
  <w:style w:type="paragraph" w:customStyle="1" w:styleId="3">
    <w:name w:val="样式 标题 3 + (中文) 黑体 小四 非加粗 段前: 7.8 磅 段后: 0 磅 行距: 固定值 20 磅"/>
    <w:basedOn w:val="4"/>
    <w:qFormat/>
    <w:uiPriority w:val="0"/>
    <w:pPr>
      <w:spacing w:line="400" w:lineRule="exact"/>
    </w:pPr>
    <w:rPr>
      <w:sz w:val="24"/>
      <w:szCs w:val="20"/>
    </w:rPr>
  </w:style>
  <w:style w:type="paragraph" w:customStyle="1" w:styleId="4">
    <w:name w:val="标题 3_0"/>
    <w:basedOn w:val="5"/>
    <w:next w:val="5"/>
    <w:unhideWhenUsed/>
    <w:qFormat/>
    <w:uiPriority w:val="9"/>
    <w:pPr>
      <w:spacing w:line="310" w:lineRule="exact"/>
      <w:ind w:left="3243"/>
      <w:outlineLvl w:val="2"/>
    </w:pPr>
    <w:rPr>
      <w:i/>
      <w:sz w:val="25"/>
      <w:szCs w:val="25"/>
    </w:rPr>
  </w:style>
  <w:style w:type="paragraph" w:customStyle="1" w:styleId="5">
    <w:name w:val="正文_0"/>
    <w:next w:val="6"/>
    <w:qFormat/>
    <w:uiPriority w:val="0"/>
    <w:pPr>
      <w:widowControl w:val="0"/>
      <w:jc w:val="both"/>
    </w:pPr>
    <w:rPr>
      <w:rFonts w:ascii="Calibri" w:hAnsi="Calibri" w:eastAsia="宋体" w:cs="Times New Roman"/>
      <w:kern w:val="2"/>
      <w:sz w:val="21"/>
      <w:szCs w:val="22"/>
      <w:lang w:val="en-US" w:eastAsia="zh-CN" w:bidi="ar-SA"/>
    </w:rPr>
  </w:style>
  <w:style w:type="paragraph" w:customStyle="1" w:styleId="6">
    <w:name w:val="正文首行缩进 2_0"/>
    <w:basedOn w:val="7"/>
    <w:next w:val="3"/>
    <w:unhideWhenUsed/>
    <w:qFormat/>
    <w:uiPriority w:val="99"/>
    <w:pPr>
      <w:ind w:firstLine="420" w:firstLineChars="200"/>
    </w:pPr>
  </w:style>
  <w:style w:type="paragraph" w:customStyle="1" w:styleId="7">
    <w:name w:val="正文文本缩进_0"/>
    <w:basedOn w:val="5"/>
    <w:next w:val="3"/>
    <w:unhideWhenUsed/>
    <w:qFormat/>
    <w:uiPriority w:val="99"/>
    <w:pPr>
      <w:spacing w:after="120"/>
      <w:ind w:left="420" w:leftChars="200"/>
    </w:pPr>
  </w:style>
  <w:style w:type="paragraph" w:styleId="8">
    <w:name w:val="Body Text First Indent 2"/>
    <w:basedOn w:val="2"/>
    <w:unhideWhenUsed/>
    <w:qFormat/>
    <w:uiPriority w:val="99"/>
    <w:pPr>
      <w:ind w:firstLine="420" w:firstLineChars="200"/>
    </w:pPr>
  </w:style>
  <w:style w:type="paragraph" w:customStyle="1" w:styleId="11">
    <w:name w:val="Table Paragraph"/>
    <w:basedOn w:val="1"/>
    <w:qFormat/>
    <w:uiPriority w:val="1"/>
    <w:pPr>
      <w:autoSpaceDE w:val="0"/>
      <w:autoSpaceDN w:val="0"/>
      <w:jc w:val="left"/>
    </w:pPr>
    <w:rPr>
      <w:rFonts w:ascii="宋体" w:hAnsi="宋体" w:cs="宋体"/>
      <w:kern w:val="0"/>
      <w:sz w:val="22"/>
      <w:szCs w:val="22"/>
      <w:lang w:val="zh-CN" w:bidi="zh-CN"/>
    </w:rPr>
  </w:style>
  <w:style w:type="paragraph" w:styleId="12">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fhcpec.com.cn</Company>
  <Pages>4</Pages>
  <Words>2205</Words>
  <Characters>2351</Characters>
  <Lines>17</Lines>
  <Paragraphs>4</Paragraphs>
  <TotalTime>0</TotalTime>
  <ScaleCrop>false</ScaleCrop>
  <LinksUpToDate>false</LinksUpToDate>
  <CharactersWithSpaces>2365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2024-06-05T01:14:00Z</dcterms:created>
  <dc:creator>97049</dc:creator>
  <cp:lastModifiedBy>Hot &amp;&amp; Cold</cp:lastModifiedBy>
  <dcterms:modified xsi:type="dcterms:W3CDTF">2024-07-04T07:25:45Z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3BAB2911D8E24ECB8C9DB340361AA6D4_12</vt:lpwstr>
  </property>
</Properties>
</file>