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 w:lineRule="auto"/>
        <w:ind w:firstLine="4357" w:firstLineChars="1550"/>
        <w:rPr>
          <w:b/>
          <w:sz w:val="28"/>
          <w:szCs w:val="28"/>
        </w:rPr>
      </w:pPr>
      <w:r>
        <w:rPr>
          <w:rFonts w:hint="eastAsia"/>
          <w:b/>
          <w:sz w:val="28"/>
          <w:szCs w:val="28"/>
        </w:rPr>
        <w:t>采购合同</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0"/>
        <w:gridCol w:w="3846"/>
        <w:gridCol w:w="1311"/>
        <w:gridCol w:w="3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 xml:space="preserve">                                                                                      </w:t>
            </w:r>
          </w:p>
        </w:tc>
        <w:tc>
          <w:tcPr>
            <w:tcW w:w="4394" w:type="dxa"/>
          </w:tcPr>
          <w:p>
            <w:pPr>
              <w:spacing w:line="120" w:lineRule="auto"/>
              <w:rPr>
                <w:sz w:val="24"/>
              </w:rPr>
            </w:pPr>
          </w:p>
        </w:tc>
        <w:tc>
          <w:tcPr>
            <w:tcW w:w="1418" w:type="dxa"/>
          </w:tcPr>
          <w:p>
            <w:pPr>
              <w:spacing w:line="120" w:lineRule="auto"/>
              <w:rPr>
                <w:sz w:val="24"/>
              </w:rPr>
            </w:pPr>
            <w:r>
              <w:rPr>
                <w:rFonts w:hint="eastAsia"/>
                <w:sz w:val="24"/>
              </w:rPr>
              <w:t>合同编号：</w:t>
            </w:r>
          </w:p>
        </w:tc>
        <w:tc>
          <w:tcPr>
            <w:tcW w:w="3649" w:type="dxa"/>
          </w:tcPr>
          <w:p>
            <w:pPr>
              <w:spacing w:line="120" w:lineRule="auto"/>
              <w:rPr>
                <w:rFonts w:hint="eastAsia" w:eastAsia="宋体"/>
                <w:sz w:val="24"/>
                <w:lang w:eastAsia="zh-CN"/>
              </w:rPr>
            </w:pPr>
            <w:r>
              <w:rPr>
                <w:rFonts w:hint="eastAsia"/>
                <w:sz w:val="24"/>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甲方：</w:t>
            </w:r>
          </w:p>
        </w:tc>
        <w:tc>
          <w:tcPr>
            <w:tcW w:w="4394" w:type="dxa"/>
          </w:tcPr>
          <w:p>
            <w:pPr>
              <w:spacing w:line="120" w:lineRule="auto"/>
              <w:rPr>
                <w:sz w:val="24"/>
              </w:rPr>
            </w:pPr>
            <w:r>
              <w:rPr>
                <w:rFonts w:hint="eastAsia"/>
                <w:sz w:val="24"/>
                <w:lang w:val="en-US" w:eastAsia="zh-CN"/>
              </w:rPr>
              <w:t>腾龙芳烃（漳州）有限公司</w:t>
            </w:r>
            <w:r>
              <w:rPr>
                <w:rFonts w:hint="eastAsia"/>
                <w:sz w:val="24"/>
              </w:rPr>
              <w:t xml:space="preserve">                                     </w:t>
            </w:r>
          </w:p>
        </w:tc>
        <w:tc>
          <w:tcPr>
            <w:tcW w:w="1418" w:type="dxa"/>
          </w:tcPr>
          <w:p>
            <w:pPr>
              <w:spacing w:line="120" w:lineRule="auto"/>
              <w:rPr>
                <w:sz w:val="24"/>
              </w:rPr>
            </w:pPr>
            <w:r>
              <w:rPr>
                <w:rFonts w:hint="eastAsia"/>
                <w:sz w:val="24"/>
              </w:rPr>
              <w:t>签订地点：</w:t>
            </w:r>
          </w:p>
        </w:tc>
        <w:tc>
          <w:tcPr>
            <w:tcW w:w="3649" w:type="dxa"/>
          </w:tcPr>
          <w:p>
            <w:pPr>
              <w:spacing w:line="120" w:lineRule="auto"/>
              <w:jc w:val="left"/>
              <w:rPr>
                <w:rFonts w:hint="default" w:eastAsia="宋体"/>
                <w:sz w:val="24"/>
                <w:lang w:val="en-US" w:eastAsia="zh-CN"/>
              </w:rPr>
            </w:pPr>
            <w:r>
              <w:rPr>
                <w:rFonts w:hint="eastAsia"/>
                <w:sz w:val="24"/>
                <w:lang w:val="en-US" w:eastAsia="zh-CN"/>
              </w:rPr>
              <w:t>漳州古雷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乙方：</w:t>
            </w:r>
          </w:p>
        </w:tc>
        <w:tc>
          <w:tcPr>
            <w:tcW w:w="4394" w:type="dxa"/>
          </w:tcPr>
          <w:p>
            <w:pPr>
              <w:spacing w:line="120" w:lineRule="auto"/>
              <w:rPr>
                <w:sz w:val="24"/>
              </w:rPr>
            </w:pPr>
            <w:r>
              <w:rPr>
                <w:rFonts w:hint="eastAsia"/>
                <w:sz w:val="24"/>
                <w:lang w:val="en-US" w:eastAsia="zh-CN"/>
              </w:rPr>
              <w:t xml:space="preserve"> </w:t>
            </w:r>
          </w:p>
        </w:tc>
        <w:tc>
          <w:tcPr>
            <w:tcW w:w="1418" w:type="dxa"/>
          </w:tcPr>
          <w:p>
            <w:pPr>
              <w:spacing w:line="120" w:lineRule="auto"/>
              <w:rPr>
                <w:sz w:val="24"/>
              </w:rPr>
            </w:pPr>
            <w:r>
              <w:rPr>
                <w:rFonts w:hint="eastAsia"/>
                <w:sz w:val="24"/>
              </w:rPr>
              <w:t>签订日期：</w:t>
            </w:r>
          </w:p>
        </w:tc>
        <w:tc>
          <w:tcPr>
            <w:tcW w:w="3649" w:type="dxa"/>
          </w:tcPr>
          <w:p>
            <w:pPr>
              <w:spacing w:line="120" w:lineRule="auto"/>
              <w:rPr>
                <w:rFonts w:hint="default" w:eastAsia="宋体"/>
                <w:sz w:val="24"/>
                <w:lang w:val="en-US" w:eastAsia="zh-CN"/>
              </w:rPr>
            </w:pPr>
            <w:r>
              <w:rPr>
                <w:rFonts w:hint="eastAsia"/>
                <w:sz w:val="24"/>
                <w:lang w:val="en-US" w:eastAsia="zh-CN"/>
              </w:rPr>
              <w:t>2024年 月 日</w:t>
            </w: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5"/>
        <w:tblW w:w="10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8"/>
        <w:gridCol w:w="1569"/>
        <w:gridCol w:w="1377"/>
        <w:gridCol w:w="2018"/>
        <w:gridCol w:w="1664"/>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148" w:type="dxa"/>
            <w:vAlign w:val="center"/>
          </w:tcPr>
          <w:p>
            <w:pPr>
              <w:spacing w:line="120" w:lineRule="auto"/>
              <w:jc w:val="center"/>
              <w:rPr>
                <w:b/>
                <w:sz w:val="24"/>
              </w:rPr>
            </w:pPr>
            <w:r>
              <w:rPr>
                <w:rFonts w:hint="eastAsia"/>
                <w:b/>
                <w:sz w:val="24"/>
              </w:rPr>
              <w:t>产品名称</w:t>
            </w:r>
          </w:p>
        </w:tc>
        <w:tc>
          <w:tcPr>
            <w:tcW w:w="1569" w:type="dxa"/>
            <w:vAlign w:val="center"/>
          </w:tcPr>
          <w:p>
            <w:pPr>
              <w:spacing w:line="120" w:lineRule="auto"/>
              <w:jc w:val="center"/>
              <w:rPr>
                <w:b/>
                <w:sz w:val="24"/>
              </w:rPr>
            </w:pPr>
            <w:r>
              <w:rPr>
                <w:rFonts w:hint="eastAsia"/>
                <w:b/>
                <w:sz w:val="24"/>
              </w:rPr>
              <w:t>规格型号</w:t>
            </w:r>
          </w:p>
        </w:tc>
        <w:tc>
          <w:tcPr>
            <w:tcW w:w="1377" w:type="dxa"/>
            <w:vAlign w:val="center"/>
          </w:tcPr>
          <w:p>
            <w:pPr>
              <w:spacing w:line="120" w:lineRule="auto"/>
              <w:jc w:val="center"/>
              <w:rPr>
                <w:b/>
                <w:sz w:val="24"/>
              </w:rPr>
            </w:pPr>
            <w:r>
              <w:rPr>
                <w:rFonts w:hint="eastAsia"/>
                <w:b/>
                <w:sz w:val="24"/>
              </w:rPr>
              <w:t>数量</w:t>
            </w:r>
          </w:p>
        </w:tc>
        <w:tc>
          <w:tcPr>
            <w:tcW w:w="2018" w:type="dxa"/>
            <w:vAlign w:val="center"/>
          </w:tcPr>
          <w:p>
            <w:pPr>
              <w:spacing w:line="120" w:lineRule="auto"/>
              <w:jc w:val="center"/>
              <w:rPr>
                <w:rFonts w:hint="eastAsia" w:eastAsia="宋体"/>
                <w:b/>
                <w:sz w:val="24"/>
                <w:lang w:val="en-US" w:eastAsia="zh-CN"/>
              </w:rPr>
            </w:pPr>
            <w:r>
              <w:rPr>
                <w:rFonts w:hint="eastAsia"/>
                <w:b/>
                <w:sz w:val="24"/>
                <w:lang w:val="en-US" w:eastAsia="zh-CN"/>
              </w:rPr>
              <w:t>序列号</w:t>
            </w:r>
          </w:p>
        </w:tc>
        <w:tc>
          <w:tcPr>
            <w:tcW w:w="1664" w:type="dxa"/>
            <w:vAlign w:val="center"/>
          </w:tcPr>
          <w:p>
            <w:pPr>
              <w:spacing w:line="120" w:lineRule="auto"/>
              <w:jc w:val="center"/>
              <w:rPr>
                <w:b/>
                <w:sz w:val="24"/>
              </w:rPr>
            </w:pPr>
            <w:r>
              <w:rPr>
                <w:rFonts w:hint="eastAsia"/>
                <w:b/>
                <w:sz w:val="24"/>
              </w:rPr>
              <w:t>单价/元</w:t>
            </w:r>
          </w:p>
        </w:tc>
        <w:tc>
          <w:tcPr>
            <w:tcW w:w="1581"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148" w:type="dxa"/>
            <w:vMerge w:val="restart"/>
            <w:vAlign w:val="center"/>
          </w:tcPr>
          <w:p>
            <w:pPr>
              <w:spacing w:line="120" w:lineRule="auto"/>
              <w:jc w:val="center"/>
              <w:rPr>
                <w:sz w:val="24"/>
              </w:rPr>
            </w:pPr>
            <w:permStart w:id="0" w:edGrp="everyone" w:colFirst="0" w:colLast="0"/>
            <w:permStart w:id="3" w:edGrp="everyone" w:colFirst="4" w:colLast="5"/>
            <w:r>
              <w:rPr>
                <w:rFonts w:hint="eastAsia" w:ascii="宋体" w:hAnsi="宋体" w:eastAsia="宋体" w:cs="仿宋"/>
                <w:color w:val="000000"/>
                <w:kern w:val="0"/>
                <w:sz w:val="24"/>
              </w:rPr>
              <w:t>网络入侵检测系统装置 License</w:t>
            </w:r>
          </w:p>
        </w:tc>
        <w:tc>
          <w:tcPr>
            <w:tcW w:w="1569" w:type="dxa"/>
            <w:vMerge w:val="restart"/>
            <w:vAlign w:val="center"/>
          </w:tcPr>
          <w:p>
            <w:pPr>
              <w:spacing w:line="120" w:lineRule="auto"/>
              <w:jc w:val="center"/>
              <w:rPr>
                <w:rFonts w:hint="default" w:eastAsia="宋体"/>
                <w:sz w:val="24"/>
                <w:lang w:val="en-US" w:eastAsia="zh-CN"/>
              </w:rPr>
            </w:pPr>
            <w:permStart w:id="1" w:edGrp="everyone"/>
            <w:r>
              <w:rPr>
                <w:rFonts w:hint="eastAsia" w:ascii="宋体" w:hAnsi="宋体" w:eastAsia="宋体" w:cs="仿宋"/>
                <w:color w:val="000000"/>
                <w:kern w:val="0"/>
                <w:sz w:val="24"/>
              </w:rPr>
              <w:t>NID SNX3-N300A</w:t>
            </w:r>
          </w:p>
        </w:tc>
        <w:tc>
          <w:tcPr>
            <w:tcW w:w="1377" w:type="dxa"/>
            <w:vMerge w:val="restart"/>
            <w:vAlign w:val="center"/>
          </w:tcPr>
          <w:p>
            <w:pPr>
              <w:spacing w:line="120" w:lineRule="auto"/>
              <w:jc w:val="center"/>
              <w:rPr>
                <w:rFonts w:hint="default" w:eastAsia="宋体"/>
                <w:sz w:val="24"/>
                <w:lang w:val="en-US" w:eastAsia="zh-CN"/>
              </w:rPr>
            </w:pPr>
            <w:r>
              <w:rPr>
                <w:rFonts w:hint="eastAsia"/>
                <w:sz w:val="24"/>
                <w:lang w:val="en-US" w:eastAsia="zh-CN"/>
              </w:rPr>
              <w:t>5套</w:t>
            </w:r>
            <w:permEnd w:id="1"/>
            <w:permStart w:id="2" w:edGrp="everyone"/>
          </w:p>
        </w:tc>
        <w:tc>
          <w:tcPr>
            <w:tcW w:w="2018" w:type="dxa"/>
            <w:vAlign w:val="center"/>
          </w:tcPr>
          <w:p>
            <w:pPr>
              <w:widowControl/>
              <w:spacing w:line="360" w:lineRule="auto"/>
              <w:jc w:val="center"/>
              <w:rPr>
                <w:rFonts w:hint="eastAsia"/>
                <w:sz w:val="24"/>
                <w:lang w:val="en-US" w:eastAsia="zh-CN"/>
              </w:rPr>
            </w:pPr>
            <w:r>
              <w:rPr>
                <w:rFonts w:hint="eastAsia" w:ascii="宋体" w:hAnsi="宋体" w:eastAsia="宋体" w:cs="仿宋"/>
                <w:color w:val="000000" w:themeColor="text1"/>
                <w:sz w:val="24"/>
              </w:rPr>
              <w:t>17-38-L-0669</w:t>
            </w:r>
          </w:p>
          <w:permEnd w:id="2"/>
        </w:tc>
        <w:tc>
          <w:tcPr>
            <w:tcW w:w="1664" w:type="dxa"/>
            <w:vMerge w:val="restart"/>
            <w:vAlign w:val="center"/>
          </w:tcPr>
          <w:p>
            <w:pPr>
              <w:spacing w:line="120" w:lineRule="auto"/>
              <w:jc w:val="center"/>
              <w:rPr>
                <w:rFonts w:hint="default" w:eastAsia="宋体"/>
                <w:sz w:val="24"/>
                <w:lang w:val="en-US" w:eastAsia="zh-CN"/>
              </w:rPr>
            </w:pPr>
          </w:p>
        </w:tc>
        <w:tc>
          <w:tcPr>
            <w:tcW w:w="1581" w:type="dxa"/>
            <w:vMerge w:val="restart"/>
            <w:vAlign w:val="center"/>
          </w:tcPr>
          <w:p>
            <w:pPr>
              <w:spacing w:line="120" w:lineRule="auto"/>
              <w:jc w:val="center"/>
              <w:rPr>
                <w:rFonts w:hint="default"/>
                <w:sz w:val="24"/>
                <w:lang w:val="en-US"/>
              </w:rPr>
            </w:pPr>
          </w:p>
        </w:tc>
      </w:tr>
      <w:permEnd w:id="0"/>
      <w:perm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148" w:type="dxa"/>
            <w:vMerge w:val="continue"/>
            <w:vAlign w:val="center"/>
          </w:tcPr>
          <w:p>
            <w:pPr>
              <w:spacing w:line="120" w:lineRule="auto"/>
              <w:jc w:val="center"/>
              <w:rPr>
                <w:rFonts w:hint="eastAsia"/>
                <w:sz w:val="24"/>
              </w:rPr>
            </w:pPr>
          </w:p>
        </w:tc>
        <w:tc>
          <w:tcPr>
            <w:tcW w:w="1569" w:type="dxa"/>
            <w:vMerge w:val="continue"/>
            <w:vAlign w:val="center"/>
          </w:tcPr>
          <w:p>
            <w:pPr>
              <w:spacing w:line="120" w:lineRule="auto"/>
              <w:jc w:val="center"/>
              <w:rPr>
                <w:rFonts w:hint="eastAsia"/>
                <w:sz w:val="24"/>
                <w:lang w:val="en-US" w:eastAsia="zh-CN"/>
              </w:rPr>
            </w:pPr>
          </w:p>
        </w:tc>
        <w:tc>
          <w:tcPr>
            <w:tcW w:w="1377" w:type="dxa"/>
            <w:vMerge w:val="continue"/>
            <w:vAlign w:val="center"/>
          </w:tcPr>
          <w:p>
            <w:pPr>
              <w:spacing w:line="120" w:lineRule="auto"/>
              <w:jc w:val="center"/>
              <w:rPr>
                <w:rFonts w:hint="eastAsia"/>
                <w:sz w:val="24"/>
                <w:lang w:val="en-US" w:eastAsia="zh-CN"/>
              </w:rPr>
            </w:pPr>
          </w:p>
        </w:tc>
        <w:tc>
          <w:tcPr>
            <w:tcW w:w="2018" w:type="dxa"/>
            <w:vAlign w:val="center"/>
          </w:tcPr>
          <w:p>
            <w:pPr>
              <w:widowControl/>
              <w:spacing w:line="360" w:lineRule="auto"/>
              <w:jc w:val="center"/>
              <w:rPr>
                <w:rFonts w:hint="eastAsia"/>
                <w:sz w:val="24"/>
                <w:lang w:val="en-US" w:eastAsia="zh-CN"/>
              </w:rPr>
            </w:pPr>
            <w:r>
              <w:rPr>
                <w:rFonts w:hint="eastAsia" w:ascii="宋体" w:hAnsi="宋体" w:eastAsia="宋体" w:cs="仿宋"/>
                <w:color w:val="000000" w:themeColor="text1"/>
                <w:sz w:val="24"/>
              </w:rPr>
              <w:t>17-38-L-0670</w:t>
            </w:r>
          </w:p>
        </w:tc>
        <w:tc>
          <w:tcPr>
            <w:tcW w:w="1664" w:type="dxa"/>
            <w:vMerge w:val="continue"/>
            <w:vAlign w:val="center"/>
          </w:tcPr>
          <w:p>
            <w:pPr>
              <w:spacing w:line="120" w:lineRule="auto"/>
              <w:jc w:val="center"/>
              <w:rPr>
                <w:rFonts w:hint="eastAsia"/>
                <w:sz w:val="24"/>
                <w:lang w:val="en-US" w:eastAsia="zh-CN"/>
              </w:rPr>
            </w:pPr>
          </w:p>
        </w:tc>
        <w:tc>
          <w:tcPr>
            <w:tcW w:w="1581" w:type="dxa"/>
            <w:vMerge w:val="continue"/>
            <w:vAlign w:val="center"/>
          </w:tcPr>
          <w:p>
            <w:pPr>
              <w:spacing w:line="120" w:lineRule="auto"/>
              <w:jc w:val="center"/>
              <w:rPr>
                <w:rFonts w:hint="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148" w:type="dxa"/>
            <w:vMerge w:val="continue"/>
            <w:vAlign w:val="center"/>
          </w:tcPr>
          <w:p>
            <w:pPr>
              <w:spacing w:line="120" w:lineRule="auto"/>
              <w:jc w:val="center"/>
              <w:rPr>
                <w:rFonts w:hint="eastAsia"/>
                <w:sz w:val="24"/>
              </w:rPr>
            </w:pPr>
          </w:p>
        </w:tc>
        <w:tc>
          <w:tcPr>
            <w:tcW w:w="1569" w:type="dxa"/>
            <w:vMerge w:val="continue"/>
            <w:vAlign w:val="center"/>
          </w:tcPr>
          <w:p>
            <w:pPr>
              <w:spacing w:line="120" w:lineRule="auto"/>
              <w:jc w:val="center"/>
              <w:rPr>
                <w:rFonts w:hint="eastAsia"/>
                <w:sz w:val="24"/>
                <w:lang w:val="en-US" w:eastAsia="zh-CN"/>
              </w:rPr>
            </w:pPr>
          </w:p>
        </w:tc>
        <w:tc>
          <w:tcPr>
            <w:tcW w:w="1377" w:type="dxa"/>
            <w:vMerge w:val="continue"/>
            <w:vAlign w:val="center"/>
          </w:tcPr>
          <w:p>
            <w:pPr>
              <w:spacing w:line="120" w:lineRule="auto"/>
              <w:jc w:val="center"/>
              <w:rPr>
                <w:rFonts w:hint="eastAsia"/>
                <w:sz w:val="24"/>
                <w:lang w:val="en-US" w:eastAsia="zh-CN"/>
              </w:rPr>
            </w:pPr>
          </w:p>
        </w:tc>
        <w:tc>
          <w:tcPr>
            <w:tcW w:w="2018" w:type="dxa"/>
            <w:vAlign w:val="center"/>
          </w:tcPr>
          <w:p>
            <w:pPr>
              <w:widowControl/>
              <w:spacing w:line="360" w:lineRule="auto"/>
              <w:jc w:val="center"/>
              <w:rPr>
                <w:rFonts w:hint="eastAsia"/>
                <w:sz w:val="24"/>
                <w:lang w:val="en-US" w:eastAsia="zh-CN"/>
              </w:rPr>
            </w:pPr>
            <w:r>
              <w:rPr>
                <w:rFonts w:hint="eastAsia" w:ascii="宋体" w:hAnsi="宋体" w:eastAsia="宋体" w:cs="仿宋"/>
                <w:color w:val="000000" w:themeColor="text1"/>
                <w:sz w:val="24"/>
              </w:rPr>
              <w:t>18-16-L-0144</w:t>
            </w:r>
          </w:p>
        </w:tc>
        <w:tc>
          <w:tcPr>
            <w:tcW w:w="1664" w:type="dxa"/>
            <w:vMerge w:val="continue"/>
            <w:vAlign w:val="center"/>
          </w:tcPr>
          <w:p>
            <w:pPr>
              <w:spacing w:line="120" w:lineRule="auto"/>
              <w:jc w:val="center"/>
              <w:rPr>
                <w:rFonts w:hint="eastAsia"/>
                <w:sz w:val="24"/>
                <w:lang w:val="en-US" w:eastAsia="zh-CN"/>
              </w:rPr>
            </w:pPr>
          </w:p>
        </w:tc>
        <w:tc>
          <w:tcPr>
            <w:tcW w:w="1581" w:type="dxa"/>
            <w:vMerge w:val="continue"/>
            <w:vAlign w:val="center"/>
          </w:tcPr>
          <w:p>
            <w:pPr>
              <w:spacing w:line="120" w:lineRule="auto"/>
              <w:jc w:val="center"/>
              <w:rPr>
                <w:rFonts w:hint="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148" w:type="dxa"/>
            <w:vMerge w:val="continue"/>
            <w:vAlign w:val="center"/>
          </w:tcPr>
          <w:p>
            <w:pPr>
              <w:spacing w:line="120" w:lineRule="auto"/>
              <w:jc w:val="center"/>
              <w:rPr>
                <w:rFonts w:hint="eastAsia"/>
                <w:sz w:val="24"/>
              </w:rPr>
            </w:pPr>
          </w:p>
        </w:tc>
        <w:tc>
          <w:tcPr>
            <w:tcW w:w="1569" w:type="dxa"/>
            <w:vMerge w:val="continue"/>
            <w:vAlign w:val="center"/>
          </w:tcPr>
          <w:p>
            <w:pPr>
              <w:spacing w:line="120" w:lineRule="auto"/>
              <w:jc w:val="center"/>
              <w:rPr>
                <w:rFonts w:hint="eastAsia"/>
                <w:sz w:val="24"/>
                <w:lang w:val="en-US" w:eastAsia="zh-CN"/>
              </w:rPr>
            </w:pPr>
          </w:p>
        </w:tc>
        <w:tc>
          <w:tcPr>
            <w:tcW w:w="1377" w:type="dxa"/>
            <w:vMerge w:val="continue"/>
            <w:vAlign w:val="center"/>
          </w:tcPr>
          <w:p>
            <w:pPr>
              <w:spacing w:line="120" w:lineRule="auto"/>
              <w:jc w:val="center"/>
              <w:rPr>
                <w:rFonts w:hint="eastAsia"/>
                <w:sz w:val="24"/>
                <w:lang w:val="en-US" w:eastAsia="zh-CN"/>
              </w:rPr>
            </w:pPr>
          </w:p>
        </w:tc>
        <w:tc>
          <w:tcPr>
            <w:tcW w:w="2018" w:type="dxa"/>
            <w:vAlign w:val="center"/>
          </w:tcPr>
          <w:p>
            <w:pPr>
              <w:widowControl/>
              <w:spacing w:line="360" w:lineRule="auto"/>
              <w:jc w:val="center"/>
              <w:rPr>
                <w:rFonts w:hint="eastAsia"/>
                <w:sz w:val="24"/>
                <w:lang w:val="en-US" w:eastAsia="zh-CN"/>
              </w:rPr>
            </w:pPr>
            <w:r>
              <w:rPr>
                <w:rFonts w:hint="eastAsia" w:ascii="宋体" w:hAnsi="宋体" w:eastAsia="宋体" w:cs="仿宋"/>
                <w:color w:val="000000" w:themeColor="text1"/>
                <w:sz w:val="24"/>
              </w:rPr>
              <w:t>19-35-L-0247</w:t>
            </w:r>
          </w:p>
        </w:tc>
        <w:tc>
          <w:tcPr>
            <w:tcW w:w="1664" w:type="dxa"/>
            <w:vMerge w:val="continue"/>
            <w:vAlign w:val="center"/>
          </w:tcPr>
          <w:p>
            <w:pPr>
              <w:spacing w:line="120" w:lineRule="auto"/>
              <w:jc w:val="center"/>
              <w:rPr>
                <w:rFonts w:hint="eastAsia"/>
                <w:sz w:val="24"/>
                <w:lang w:val="en-US" w:eastAsia="zh-CN"/>
              </w:rPr>
            </w:pPr>
          </w:p>
        </w:tc>
        <w:tc>
          <w:tcPr>
            <w:tcW w:w="1581" w:type="dxa"/>
            <w:vMerge w:val="continue"/>
            <w:vAlign w:val="center"/>
          </w:tcPr>
          <w:p>
            <w:pPr>
              <w:spacing w:line="120" w:lineRule="auto"/>
              <w:jc w:val="center"/>
              <w:rPr>
                <w:rFonts w:hint="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148" w:type="dxa"/>
            <w:vMerge w:val="continue"/>
            <w:vAlign w:val="center"/>
          </w:tcPr>
          <w:p>
            <w:pPr>
              <w:spacing w:line="120" w:lineRule="auto"/>
              <w:jc w:val="center"/>
              <w:rPr>
                <w:rFonts w:hint="eastAsia"/>
                <w:sz w:val="24"/>
              </w:rPr>
            </w:pPr>
          </w:p>
        </w:tc>
        <w:tc>
          <w:tcPr>
            <w:tcW w:w="1569" w:type="dxa"/>
            <w:vMerge w:val="continue"/>
            <w:vAlign w:val="center"/>
          </w:tcPr>
          <w:p>
            <w:pPr>
              <w:spacing w:line="120" w:lineRule="auto"/>
              <w:jc w:val="center"/>
              <w:rPr>
                <w:rFonts w:hint="eastAsia"/>
                <w:sz w:val="24"/>
                <w:lang w:val="en-US" w:eastAsia="zh-CN"/>
              </w:rPr>
            </w:pPr>
          </w:p>
        </w:tc>
        <w:tc>
          <w:tcPr>
            <w:tcW w:w="1377" w:type="dxa"/>
            <w:vMerge w:val="continue"/>
            <w:vAlign w:val="center"/>
          </w:tcPr>
          <w:p>
            <w:pPr>
              <w:spacing w:line="120" w:lineRule="auto"/>
              <w:jc w:val="center"/>
              <w:rPr>
                <w:rFonts w:hint="eastAsia"/>
                <w:sz w:val="24"/>
                <w:lang w:val="en-US" w:eastAsia="zh-CN"/>
              </w:rPr>
            </w:pPr>
          </w:p>
        </w:tc>
        <w:tc>
          <w:tcPr>
            <w:tcW w:w="2018" w:type="dxa"/>
            <w:vAlign w:val="center"/>
          </w:tcPr>
          <w:p>
            <w:pPr>
              <w:widowControl/>
              <w:spacing w:line="360" w:lineRule="auto"/>
              <w:jc w:val="center"/>
              <w:rPr>
                <w:rFonts w:hint="eastAsia"/>
                <w:sz w:val="24"/>
                <w:lang w:val="en-US" w:eastAsia="zh-CN"/>
              </w:rPr>
            </w:pPr>
            <w:r>
              <w:rPr>
                <w:rFonts w:hint="eastAsia" w:ascii="宋体" w:hAnsi="宋体" w:eastAsia="宋体" w:cs="仿宋"/>
                <w:color w:val="000000" w:themeColor="text1"/>
                <w:sz w:val="24"/>
              </w:rPr>
              <w:t>19-42-L-0647</w:t>
            </w:r>
          </w:p>
        </w:tc>
        <w:tc>
          <w:tcPr>
            <w:tcW w:w="1664" w:type="dxa"/>
            <w:vMerge w:val="continue"/>
            <w:vAlign w:val="center"/>
          </w:tcPr>
          <w:p>
            <w:pPr>
              <w:spacing w:line="120" w:lineRule="auto"/>
              <w:jc w:val="center"/>
              <w:rPr>
                <w:rFonts w:hint="eastAsia"/>
                <w:sz w:val="24"/>
                <w:lang w:val="en-US" w:eastAsia="zh-CN"/>
              </w:rPr>
            </w:pPr>
          </w:p>
        </w:tc>
        <w:tc>
          <w:tcPr>
            <w:tcW w:w="1581" w:type="dxa"/>
            <w:vMerge w:val="continue"/>
            <w:vAlign w:val="center"/>
          </w:tcPr>
          <w:p>
            <w:pPr>
              <w:spacing w:line="120" w:lineRule="auto"/>
              <w:jc w:val="center"/>
              <w:rPr>
                <w:rFonts w:hint="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148" w:type="dxa"/>
            <w:vMerge w:val="restart"/>
            <w:vAlign w:val="center"/>
          </w:tcPr>
          <w:p>
            <w:pPr>
              <w:widowControl/>
              <w:spacing w:line="360" w:lineRule="auto"/>
              <w:jc w:val="center"/>
              <w:rPr>
                <w:rFonts w:hint="eastAsia"/>
                <w:sz w:val="24"/>
              </w:rPr>
            </w:pPr>
            <w:r>
              <w:rPr>
                <w:rFonts w:hint="eastAsia" w:ascii="宋体" w:hAnsi="宋体" w:eastAsia="宋体" w:cs="仿宋"/>
                <w:color w:val="000000"/>
                <w:kern w:val="0"/>
                <w:sz w:val="24"/>
              </w:rPr>
              <w:t>工控安全审计装置 License</w:t>
            </w:r>
          </w:p>
        </w:tc>
        <w:tc>
          <w:tcPr>
            <w:tcW w:w="1569" w:type="dxa"/>
            <w:vMerge w:val="restart"/>
            <w:vAlign w:val="center"/>
          </w:tcPr>
          <w:p>
            <w:pPr>
              <w:widowControl/>
              <w:spacing w:line="360" w:lineRule="auto"/>
              <w:jc w:val="center"/>
              <w:rPr>
                <w:rFonts w:hint="eastAsia"/>
                <w:sz w:val="24"/>
                <w:lang w:val="en-US" w:eastAsia="zh-CN"/>
              </w:rPr>
            </w:pPr>
            <w:r>
              <w:rPr>
                <w:rFonts w:hint="eastAsia" w:ascii="宋体" w:hAnsi="宋体" w:eastAsia="宋体" w:cs="仿宋"/>
                <w:color w:val="000000"/>
                <w:kern w:val="0"/>
                <w:sz w:val="24"/>
              </w:rPr>
              <w:t>SAS-ICSNX3-300A</w:t>
            </w:r>
          </w:p>
        </w:tc>
        <w:tc>
          <w:tcPr>
            <w:tcW w:w="1377" w:type="dxa"/>
            <w:vMerge w:val="restart"/>
            <w:vAlign w:val="center"/>
          </w:tcPr>
          <w:p>
            <w:pPr>
              <w:spacing w:line="120" w:lineRule="auto"/>
              <w:jc w:val="center"/>
              <w:rPr>
                <w:rFonts w:hint="eastAsia"/>
                <w:sz w:val="24"/>
                <w:lang w:val="en-US" w:eastAsia="zh-CN"/>
              </w:rPr>
            </w:pPr>
            <w:r>
              <w:rPr>
                <w:rFonts w:hint="eastAsia"/>
                <w:sz w:val="24"/>
                <w:lang w:val="en-US" w:eastAsia="zh-CN"/>
              </w:rPr>
              <w:t>5套</w:t>
            </w:r>
          </w:p>
        </w:tc>
        <w:tc>
          <w:tcPr>
            <w:tcW w:w="2018" w:type="dxa"/>
            <w:vAlign w:val="center"/>
          </w:tcPr>
          <w:p>
            <w:pPr>
              <w:widowControl/>
              <w:spacing w:line="360" w:lineRule="auto"/>
              <w:jc w:val="center"/>
              <w:rPr>
                <w:rFonts w:hint="eastAsia"/>
                <w:sz w:val="24"/>
                <w:lang w:val="en-US" w:eastAsia="zh-CN"/>
              </w:rPr>
            </w:pPr>
            <w:r>
              <w:rPr>
                <w:rFonts w:hint="eastAsia" w:ascii="宋体" w:hAnsi="宋体" w:eastAsia="宋体" w:cs="仿宋"/>
                <w:color w:val="000000" w:themeColor="text1"/>
                <w:sz w:val="24"/>
              </w:rPr>
              <w:t>17-39-L-0095</w:t>
            </w:r>
          </w:p>
        </w:tc>
        <w:tc>
          <w:tcPr>
            <w:tcW w:w="1664" w:type="dxa"/>
            <w:vMerge w:val="restart"/>
            <w:vAlign w:val="center"/>
          </w:tcPr>
          <w:p>
            <w:pPr>
              <w:spacing w:line="120" w:lineRule="auto"/>
              <w:jc w:val="center"/>
              <w:rPr>
                <w:rFonts w:hint="default"/>
                <w:sz w:val="24"/>
                <w:lang w:val="en-US" w:eastAsia="zh-CN"/>
              </w:rPr>
            </w:pPr>
          </w:p>
        </w:tc>
        <w:tc>
          <w:tcPr>
            <w:tcW w:w="1581" w:type="dxa"/>
            <w:vMerge w:val="restart"/>
            <w:vAlign w:val="center"/>
          </w:tcPr>
          <w:p>
            <w:pPr>
              <w:spacing w:line="120" w:lineRule="auto"/>
              <w:jc w:val="center"/>
              <w:rPr>
                <w:rFonts w:hint="default"/>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148" w:type="dxa"/>
            <w:vMerge w:val="continue"/>
            <w:vAlign w:val="center"/>
          </w:tcPr>
          <w:p>
            <w:pPr>
              <w:spacing w:line="120" w:lineRule="auto"/>
              <w:jc w:val="center"/>
              <w:rPr>
                <w:rFonts w:hint="eastAsia"/>
                <w:sz w:val="24"/>
              </w:rPr>
            </w:pPr>
          </w:p>
        </w:tc>
        <w:tc>
          <w:tcPr>
            <w:tcW w:w="1569" w:type="dxa"/>
            <w:vMerge w:val="continue"/>
            <w:vAlign w:val="center"/>
          </w:tcPr>
          <w:p>
            <w:pPr>
              <w:spacing w:line="120" w:lineRule="auto"/>
              <w:jc w:val="center"/>
              <w:rPr>
                <w:rFonts w:hint="eastAsia"/>
                <w:sz w:val="24"/>
                <w:lang w:val="en-US" w:eastAsia="zh-CN"/>
              </w:rPr>
            </w:pPr>
          </w:p>
        </w:tc>
        <w:tc>
          <w:tcPr>
            <w:tcW w:w="1377" w:type="dxa"/>
            <w:vMerge w:val="continue"/>
            <w:vAlign w:val="center"/>
          </w:tcPr>
          <w:p>
            <w:pPr>
              <w:spacing w:line="120" w:lineRule="auto"/>
              <w:jc w:val="center"/>
              <w:rPr>
                <w:rFonts w:hint="eastAsia"/>
                <w:sz w:val="24"/>
                <w:lang w:val="en-US" w:eastAsia="zh-CN"/>
              </w:rPr>
            </w:pPr>
          </w:p>
        </w:tc>
        <w:tc>
          <w:tcPr>
            <w:tcW w:w="2018" w:type="dxa"/>
            <w:vAlign w:val="center"/>
          </w:tcPr>
          <w:p>
            <w:pPr>
              <w:widowControl/>
              <w:spacing w:line="360" w:lineRule="auto"/>
              <w:jc w:val="center"/>
              <w:rPr>
                <w:rFonts w:hint="eastAsia"/>
                <w:sz w:val="24"/>
                <w:lang w:val="en-US" w:eastAsia="zh-CN"/>
              </w:rPr>
            </w:pPr>
            <w:r>
              <w:rPr>
                <w:rFonts w:hint="eastAsia" w:ascii="宋体" w:hAnsi="宋体" w:eastAsia="宋体" w:cs="仿宋"/>
                <w:color w:val="000000" w:themeColor="text1"/>
                <w:sz w:val="24"/>
              </w:rPr>
              <w:t>17-39-L-0096</w:t>
            </w:r>
          </w:p>
        </w:tc>
        <w:tc>
          <w:tcPr>
            <w:tcW w:w="1664" w:type="dxa"/>
            <w:vMerge w:val="continue"/>
            <w:vAlign w:val="center"/>
          </w:tcPr>
          <w:p>
            <w:pPr>
              <w:spacing w:line="120" w:lineRule="auto"/>
              <w:jc w:val="center"/>
              <w:rPr>
                <w:rFonts w:hint="eastAsia"/>
                <w:sz w:val="24"/>
                <w:lang w:val="en-US" w:eastAsia="zh-CN"/>
              </w:rPr>
            </w:pPr>
          </w:p>
        </w:tc>
        <w:tc>
          <w:tcPr>
            <w:tcW w:w="1581" w:type="dxa"/>
            <w:vMerge w:val="continue"/>
            <w:vAlign w:val="center"/>
          </w:tcPr>
          <w:p>
            <w:pPr>
              <w:spacing w:line="120" w:lineRule="auto"/>
              <w:jc w:val="center"/>
              <w:rPr>
                <w:rFonts w:hint="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148" w:type="dxa"/>
            <w:vMerge w:val="continue"/>
            <w:vAlign w:val="center"/>
          </w:tcPr>
          <w:p>
            <w:pPr>
              <w:spacing w:line="120" w:lineRule="auto"/>
              <w:jc w:val="center"/>
              <w:rPr>
                <w:rFonts w:hint="eastAsia"/>
                <w:sz w:val="24"/>
              </w:rPr>
            </w:pPr>
          </w:p>
        </w:tc>
        <w:tc>
          <w:tcPr>
            <w:tcW w:w="1569" w:type="dxa"/>
            <w:vMerge w:val="continue"/>
            <w:vAlign w:val="center"/>
          </w:tcPr>
          <w:p>
            <w:pPr>
              <w:spacing w:line="120" w:lineRule="auto"/>
              <w:jc w:val="center"/>
              <w:rPr>
                <w:rFonts w:hint="eastAsia"/>
                <w:sz w:val="24"/>
                <w:lang w:val="en-US" w:eastAsia="zh-CN"/>
              </w:rPr>
            </w:pPr>
          </w:p>
        </w:tc>
        <w:tc>
          <w:tcPr>
            <w:tcW w:w="1377" w:type="dxa"/>
            <w:vMerge w:val="continue"/>
            <w:vAlign w:val="center"/>
          </w:tcPr>
          <w:p>
            <w:pPr>
              <w:spacing w:line="120" w:lineRule="auto"/>
              <w:jc w:val="center"/>
              <w:rPr>
                <w:rFonts w:hint="eastAsia"/>
                <w:sz w:val="24"/>
                <w:lang w:val="en-US" w:eastAsia="zh-CN"/>
              </w:rPr>
            </w:pPr>
          </w:p>
        </w:tc>
        <w:tc>
          <w:tcPr>
            <w:tcW w:w="2018" w:type="dxa"/>
            <w:vAlign w:val="center"/>
          </w:tcPr>
          <w:p>
            <w:pPr>
              <w:widowControl/>
              <w:spacing w:line="360" w:lineRule="auto"/>
              <w:jc w:val="center"/>
              <w:rPr>
                <w:rFonts w:hint="eastAsia"/>
                <w:sz w:val="24"/>
                <w:lang w:val="en-US" w:eastAsia="zh-CN"/>
              </w:rPr>
            </w:pPr>
            <w:r>
              <w:rPr>
                <w:rFonts w:hint="eastAsia" w:ascii="宋体" w:hAnsi="宋体" w:eastAsia="宋体" w:cs="仿宋"/>
                <w:color w:val="000000" w:themeColor="text1"/>
                <w:sz w:val="24"/>
              </w:rPr>
              <w:t>18-21-L-0158</w:t>
            </w:r>
          </w:p>
        </w:tc>
        <w:tc>
          <w:tcPr>
            <w:tcW w:w="1664" w:type="dxa"/>
            <w:vMerge w:val="continue"/>
            <w:vAlign w:val="center"/>
          </w:tcPr>
          <w:p>
            <w:pPr>
              <w:spacing w:line="120" w:lineRule="auto"/>
              <w:jc w:val="center"/>
              <w:rPr>
                <w:rFonts w:hint="eastAsia"/>
                <w:sz w:val="24"/>
                <w:lang w:val="en-US" w:eastAsia="zh-CN"/>
              </w:rPr>
            </w:pPr>
          </w:p>
        </w:tc>
        <w:tc>
          <w:tcPr>
            <w:tcW w:w="1581" w:type="dxa"/>
            <w:vMerge w:val="continue"/>
            <w:vAlign w:val="center"/>
          </w:tcPr>
          <w:p>
            <w:pPr>
              <w:spacing w:line="120" w:lineRule="auto"/>
              <w:jc w:val="center"/>
              <w:rPr>
                <w:rFonts w:hint="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148" w:type="dxa"/>
            <w:vMerge w:val="continue"/>
            <w:vAlign w:val="center"/>
          </w:tcPr>
          <w:p>
            <w:pPr>
              <w:spacing w:line="120" w:lineRule="auto"/>
              <w:jc w:val="center"/>
              <w:rPr>
                <w:rFonts w:hint="eastAsia"/>
                <w:sz w:val="24"/>
              </w:rPr>
            </w:pPr>
          </w:p>
        </w:tc>
        <w:tc>
          <w:tcPr>
            <w:tcW w:w="1569" w:type="dxa"/>
            <w:vMerge w:val="continue"/>
            <w:vAlign w:val="center"/>
          </w:tcPr>
          <w:p>
            <w:pPr>
              <w:spacing w:line="120" w:lineRule="auto"/>
              <w:jc w:val="center"/>
              <w:rPr>
                <w:rFonts w:hint="eastAsia"/>
                <w:sz w:val="24"/>
                <w:lang w:val="en-US" w:eastAsia="zh-CN"/>
              </w:rPr>
            </w:pPr>
          </w:p>
        </w:tc>
        <w:tc>
          <w:tcPr>
            <w:tcW w:w="1377" w:type="dxa"/>
            <w:vMerge w:val="continue"/>
            <w:vAlign w:val="center"/>
          </w:tcPr>
          <w:p>
            <w:pPr>
              <w:spacing w:line="120" w:lineRule="auto"/>
              <w:jc w:val="center"/>
              <w:rPr>
                <w:rFonts w:hint="eastAsia"/>
                <w:sz w:val="24"/>
                <w:lang w:val="en-US" w:eastAsia="zh-CN"/>
              </w:rPr>
            </w:pPr>
          </w:p>
        </w:tc>
        <w:tc>
          <w:tcPr>
            <w:tcW w:w="2018" w:type="dxa"/>
            <w:vAlign w:val="center"/>
          </w:tcPr>
          <w:p>
            <w:pPr>
              <w:widowControl/>
              <w:spacing w:line="360" w:lineRule="auto"/>
              <w:jc w:val="center"/>
              <w:rPr>
                <w:rFonts w:hint="eastAsia"/>
                <w:sz w:val="24"/>
                <w:lang w:val="en-US" w:eastAsia="zh-CN"/>
              </w:rPr>
            </w:pPr>
            <w:r>
              <w:rPr>
                <w:rFonts w:hint="eastAsia" w:ascii="宋体" w:hAnsi="宋体" w:eastAsia="宋体" w:cs="仿宋"/>
                <w:color w:val="000000" w:themeColor="text1"/>
                <w:sz w:val="24"/>
              </w:rPr>
              <w:t>19-35-L-0201</w:t>
            </w:r>
          </w:p>
        </w:tc>
        <w:tc>
          <w:tcPr>
            <w:tcW w:w="1664" w:type="dxa"/>
            <w:vMerge w:val="continue"/>
            <w:vAlign w:val="center"/>
          </w:tcPr>
          <w:p>
            <w:pPr>
              <w:spacing w:line="120" w:lineRule="auto"/>
              <w:jc w:val="center"/>
              <w:rPr>
                <w:rFonts w:hint="eastAsia"/>
                <w:sz w:val="24"/>
                <w:lang w:val="en-US" w:eastAsia="zh-CN"/>
              </w:rPr>
            </w:pPr>
          </w:p>
        </w:tc>
        <w:tc>
          <w:tcPr>
            <w:tcW w:w="1581" w:type="dxa"/>
            <w:vMerge w:val="continue"/>
            <w:vAlign w:val="center"/>
          </w:tcPr>
          <w:p>
            <w:pPr>
              <w:spacing w:line="120" w:lineRule="auto"/>
              <w:jc w:val="center"/>
              <w:rPr>
                <w:rFonts w:hint="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148" w:type="dxa"/>
            <w:vMerge w:val="continue"/>
            <w:vAlign w:val="center"/>
          </w:tcPr>
          <w:p>
            <w:pPr>
              <w:spacing w:line="120" w:lineRule="auto"/>
              <w:jc w:val="center"/>
              <w:rPr>
                <w:rFonts w:hint="eastAsia"/>
                <w:sz w:val="24"/>
              </w:rPr>
            </w:pPr>
          </w:p>
        </w:tc>
        <w:tc>
          <w:tcPr>
            <w:tcW w:w="1569" w:type="dxa"/>
            <w:vMerge w:val="continue"/>
            <w:vAlign w:val="center"/>
          </w:tcPr>
          <w:p>
            <w:pPr>
              <w:spacing w:line="120" w:lineRule="auto"/>
              <w:jc w:val="center"/>
              <w:rPr>
                <w:rFonts w:hint="eastAsia"/>
                <w:sz w:val="24"/>
                <w:lang w:val="en-US" w:eastAsia="zh-CN"/>
              </w:rPr>
            </w:pPr>
          </w:p>
        </w:tc>
        <w:tc>
          <w:tcPr>
            <w:tcW w:w="1377" w:type="dxa"/>
            <w:vMerge w:val="continue"/>
            <w:vAlign w:val="center"/>
          </w:tcPr>
          <w:p>
            <w:pPr>
              <w:spacing w:line="120" w:lineRule="auto"/>
              <w:jc w:val="center"/>
              <w:rPr>
                <w:rFonts w:hint="eastAsia"/>
                <w:sz w:val="24"/>
                <w:lang w:val="en-US" w:eastAsia="zh-CN"/>
              </w:rPr>
            </w:pPr>
          </w:p>
        </w:tc>
        <w:tc>
          <w:tcPr>
            <w:tcW w:w="2018" w:type="dxa"/>
            <w:vAlign w:val="center"/>
          </w:tcPr>
          <w:p>
            <w:pPr>
              <w:widowControl/>
              <w:spacing w:line="360" w:lineRule="auto"/>
              <w:jc w:val="center"/>
              <w:rPr>
                <w:rFonts w:hint="eastAsia"/>
                <w:sz w:val="24"/>
                <w:lang w:val="en-US" w:eastAsia="zh-CN"/>
              </w:rPr>
            </w:pPr>
            <w:r>
              <w:rPr>
                <w:rFonts w:hint="eastAsia" w:ascii="宋体" w:hAnsi="宋体" w:eastAsia="宋体" w:cs="仿宋"/>
                <w:color w:val="000000" w:themeColor="text1"/>
                <w:sz w:val="24"/>
              </w:rPr>
              <w:t>19-38-L-1073</w:t>
            </w:r>
          </w:p>
        </w:tc>
        <w:tc>
          <w:tcPr>
            <w:tcW w:w="1664" w:type="dxa"/>
            <w:vMerge w:val="continue"/>
            <w:vAlign w:val="center"/>
          </w:tcPr>
          <w:p>
            <w:pPr>
              <w:spacing w:line="120" w:lineRule="auto"/>
              <w:jc w:val="center"/>
              <w:rPr>
                <w:rFonts w:hint="eastAsia"/>
                <w:sz w:val="24"/>
                <w:lang w:val="en-US" w:eastAsia="zh-CN"/>
              </w:rPr>
            </w:pPr>
          </w:p>
        </w:tc>
        <w:tc>
          <w:tcPr>
            <w:tcW w:w="1581" w:type="dxa"/>
            <w:vMerge w:val="continue"/>
            <w:vAlign w:val="center"/>
          </w:tcPr>
          <w:p>
            <w:pPr>
              <w:spacing w:line="120" w:lineRule="auto"/>
              <w:jc w:val="center"/>
              <w:rPr>
                <w:rFonts w:hint="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48" w:type="dxa"/>
            <w:vAlign w:val="center"/>
          </w:tcPr>
          <w:p>
            <w:pPr>
              <w:spacing w:line="120" w:lineRule="auto"/>
              <w:jc w:val="center"/>
              <w:rPr>
                <w:sz w:val="24"/>
              </w:rPr>
            </w:pPr>
            <w:r>
              <w:rPr>
                <w:rFonts w:hint="eastAsia"/>
                <w:sz w:val="24"/>
              </w:rPr>
              <w:t>合同金额合计</w:t>
            </w:r>
          </w:p>
        </w:tc>
        <w:tc>
          <w:tcPr>
            <w:tcW w:w="8209" w:type="dxa"/>
            <w:gridSpan w:val="5"/>
            <w:vAlign w:val="center"/>
          </w:tcPr>
          <w:p>
            <w:pPr>
              <w:spacing w:line="120" w:lineRule="auto"/>
              <w:jc w:val="center"/>
              <w:rPr>
                <w:rFonts w:hint="eastAsia"/>
                <w:sz w:val="24"/>
                <w:lang w:val="en-US" w:eastAsia="zh-CN"/>
              </w:rPr>
            </w:pPr>
            <w:permStart w:id="4" w:edGrp="everyone"/>
            <w:r>
              <w:rPr>
                <w:rFonts w:hint="eastAsia"/>
                <w:sz w:val="24"/>
                <w:lang w:val="en-US" w:eastAsia="zh-CN"/>
              </w:rPr>
              <w:t>人民币    元整</w:t>
            </w:r>
            <w:r>
              <w:rPr>
                <w:rFonts w:hint="eastAsia"/>
                <w:sz w:val="24"/>
              </w:rPr>
              <w:t xml:space="preserve">  </w:t>
            </w:r>
            <w:permEnd w:id="4"/>
            <w:r>
              <w:rPr>
                <w:rFonts w:hint="eastAsia"/>
                <w:sz w:val="24"/>
              </w:rPr>
              <w:t xml:space="preserve">（大写） </w:t>
            </w:r>
            <w:permStart w:id="5" w:edGrp="everyone"/>
            <w:r>
              <w:rPr>
                <w:rFonts w:hint="eastAsia"/>
                <w:sz w:val="24"/>
              </w:rPr>
              <w:t xml:space="preserve"> </w:t>
            </w:r>
            <w:r>
              <w:rPr>
                <w:rFonts w:hint="eastAsia"/>
                <w:sz w:val="24"/>
                <w:lang w:val="en-US" w:eastAsia="zh-CN"/>
              </w:rPr>
              <w:t xml:space="preserve">RMB  </w:t>
            </w:r>
            <w:r>
              <w:rPr>
                <w:rFonts w:hint="eastAsia"/>
                <w:sz w:val="24"/>
              </w:rPr>
              <w:t xml:space="preserve"> </w:t>
            </w:r>
            <w:permEnd w:id="5"/>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rPr>
        <w:t>乙方上门提供软件安装服务，乙方根据甲方要求负责送到甲方现场指定地方交货并负责安装调试。</w:t>
      </w:r>
    </w:p>
    <w:p>
      <w:pPr>
        <w:spacing w:line="360" w:lineRule="auto"/>
        <w:ind w:firstLine="480" w:firstLineChars="200"/>
        <w:rPr>
          <w:sz w:val="24"/>
        </w:rPr>
      </w:pPr>
      <w:r>
        <w:rPr>
          <w:rFonts w:hint="eastAsia"/>
          <w:sz w:val="24"/>
        </w:rPr>
        <w:t>2.2交货地点：运送到</w:t>
      </w:r>
      <w:r>
        <w:rPr>
          <w:rFonts w:hint="eastAsia" w:ascii="宋体" w:hAnsi="宋体" w:cs="宋体"/>
          <w:color w:val="000000" w:themeColor="text1"/>
          <w:sz w:val="24"/>
          <w:u w:val="single"/>
          <w:lang w:eastAsia="zh-CN"/>
        </w:rPr>
        <w:t>漳州市古雷港经济开发区腾龙路84</w:t>
      </w:r>
      <w:r>
        <w:rPr>
          <w:rFonts w:hint="eastAsia" w:ascii="宋体" w:hAnsi="宋体" w:cs="宋体"/>
          <w:color w:val="000000" w:themeColor="text1"/>
          <w:kern w:val="0"/>
          <w:sz w:val="24"/>
          <w:u w:val="single"/>
          <w:lang w:eastAsia="zh-CN"/>
        </w:rPr>
        <w:t>腾龙芳烃（漳州）有限公司工厂</w:t>
      </w:r>
      <w:r>
        <w:rPr>
          <w:rFonts w:hint="eastAsia"/>
          <w:color w:val="000000" w:themeColor="text1"/>
          <w:sz w:val="24"/>
          <w:u w:val="none"/>
          <w:lang w:eastAsia="zh-CN"/>
        </w:rPr>
        <w:t>（</w:t>
      </w:r>
      <w:r>
        <w:rPr>
          <w:rFonts w:hint="eastAsia"/>
          <w:color w:val="000000" w:themeColor="text1"/>
          <w:sz w:val="24"/>
          <w:lang w:eastAsia="zh-CN"/>
        </w:rPr>
        <w:t>以甲方提供的送货清单和地址明细为准）。</w:t>
      </w:r>
      <w:r>
        <w:rPr>
          <w:rFonts w:hint="eastAsia"/>
          <w:sz w:val="24"/>
          <w:lang w:val="en-US" w:eastAsia="zh-CN"/>
        </w:rPr>
        <w:t>甲方收货、发票接收联系</w:t>
      </w:r>
      <w:r>
        <w:rPr>
          <w:rFonts w:hint="eastAsia" w:ascii="Times New Roman" w:hAnsi="Times New Roman" w:eastAsia="宋体" w:cs="Times New Roman"/>
          <w:sz w:val="24"/>
          <w:lang w:val="en-US" w:eastAsia="zh-CN"/>
        </w:rPr>
        <w:t>人：陈重炫 电话：0596</w:t>
      </w:r>
      <w:r>
        <w:rPr>
          <w:rFonts w:hint="eastAsia" w:cs="Times New Roman"/>
          <w:sz w:val="24"/>
          <w:lang w:val="en-US" w:eastAsia="zh-CN"/>
        </w:rPr>
        <w:t>-</w:t>
      </w:r>
      <w:r>
        <w:rPr>
          <w:rFonts w:hint="eastAsia" w:ascii="Times New Roman" w:hAnsi="Times New Roman" w:eastAsia="宋体" w:cs="Times New Roman"/>
          <w:sz w:val="24"/>
          <w:lang w:val="en-US" w:eastAsia="zh-CN"/>
        </w:rPr>
        <w:t>6311299 邮箱：chenzx@fhcpec.com.cn。</w:t>
      </w:r>
    </w:p>
    <w:p>
      <w:pPr>
        <w:spacing w:line="360" w:lineRule="auto"/>
        <w:ind w:firstLine="480" w:firstLineChars="200"/>
        <w:rPr>
          <w:rFonts w:hint="eastAsia" w:eastAsia="宋体"/>
          <w:sz w:val="24"/>
          <w:lang w:eastAsia="zh-CN"/>
        </w:rPr>
      </w:pPr>
      <w:r>
        <w:rPr>
          <w:rFonts w:hint="eastAsia"/>
          <w:sz w:val="24"/>
        </w:rPr>
        <w:t>2.3交货时间：</w:t>
      </w:r>
      <w:r>
        <w:rPr>
          <w:rFonts w:hint="eastAsia"/>
          <w:sz w:val="24"/>
          <w:u w:val="single"/>
          <w:lang w:val="en-US" w:eastAsia="zh-CN"/>
        </w:rPr>
        <w:t>合同签订之日起5日内完成现场工作</w:t>
      </w:r>
      <w:r>
        <w:rPr>
          <w:rFonts w:hint="eastAsia"/>
          <w:sz w:val="24"/>
          <w:u w:val="single"/>
        </w:rPr>
        <w:t>（</w:t>
      </w:r>
      <w:r>
        <w:rPr>
          <w:rFonts w:hint="eastAsia"/>
          <w:b/>
          <w:sz w:val="24"/>
          <w:u w:val="single"/>
        </w:rPr>
        <w:t>如甲方要求推迟交货，则乙方应无条件同意并保管好货物）</w:t>
      </w:r>
      <w:r>
        <w:rPr>
          <w:rFonts w:hint="eastAsia"/>
          <w:b/>
          <w:sz w:val="24"/>
          <w:u w:val="single"/>
          <w:lang w:eastAsia="zh-CN"/>
        </w:rPr>
        <w:t>。</w:t>
      </w:r>
    </w:p>
    <w:p>
      <w:pPr>
        <w:spacing w:line="360" w:lineRule="auto"/>
        <w:ind w:firstLine="480" w:firstLineChars="200"/>
        <w:rPr>
          <w:rFonts w:hint="eastAsia"/>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ind w:firstLine="480" w:firstLineChars="200"/>
        <w:rPr>
          <w:sz w:val="24"/>
        </w:rPr>
      </w:pPr>
      <w:r>
        <w:rPr>
          <w:rFonts w:hint="eastAsia"/>
          <w:sz w:val="24"/>
        </w:rPr>
        <w:t>3、付款方式与条件</w:t>
      </w:r>
    </w:p>
    <w:p>
      <w:pPr>
        <w:spacing w:line="360" w:lineRule="auto"/>
        <w:ind w:firstLine="480" w:firstLineChars="200"/>
        <w:rPr>
          <w:rFonts w:hint="eastAsia"/>
          <w:sz w:val="24"/>
        </w:rPr>
      </w:pPr>
      <w:r>
        <w:rPr>
          <w:rFonts w:hint="eastAsia"/>
          <w:sz w:val="24"/>
        </w:rPr>
        <w:t>3.1乙方按合同约定交付产品，甲方按合同约定标准验收合格后，乙方开具全额</w:t>
      </w:r>
      <w:r>
        <w:rPr>
          <w:rFonts w:hint="eastAsia"/>
          <w:sz w:val="24"/>
          <w:u w:val="single"/>
          <w:lang w:val="en-US" w:eastAsia="zh-CN"/>
        </w:rPr>
        <w:t xml:space="preserve">  </w:t>
      </w:r>
      <w:r>
        <w:rPr>
          <w:rFonts w:hint="eastAsia"/>
          <w:sz w:val="24"/>
        </w:rPr>
        <w:t>%增值税专用发票，甲方收到全额增值税专用发票原件后</w:t>
      </w:r>
      <w:r>
        <w:rPr>
          <w:rFonts w:hint="eastAsia"/>
          <w:sz w:val="24"/>
          <w:lang w:val="en-US" w:eastAsia="zh-CN"/>
        </w:rPr>
        <w:t>6</w:t>
      </w:r>
      <w:r>
        <w:rPr>
          <w:rFonts w:hint="eastAsia"/>
          <w:sz w:val="24"/>
        </w:rPr>
        <w:t>0日内向乙方支付全额货款。</w:t>
      </w:r>
    </w:p>
    <w:p>
      <w:pPr>
        <w:spacing w:line="360" w:lineRule="auto"/>
        <w:ind w:firstLine="480" w:firstLineChars="200"/>
        <w:rPr>
          <w:rFonts w:ascii="宋体" w:hAnsi="宋体"/>
          <w:szCs w:val="21"/>
        </w:rPr>
      </w:pPr>
      <w:r>
        <w:rPr>
          <w:rFonts w:hint="eastAsia"/>
          <w:sz w:val="24"/>
        </w:rPr>
        <w:t xml:space="preserve">3.2 </w:t>
      </w:r>
      <w:r>
        <w:rPr>
          <w:sz w:val="24"/>
        </w:rPr>
        <w:t>乙方应根据甲方要求在甲方付款前</w:t>
      </w:r>
      <w:r>
        <w:rPr>
          <w:sz w:val="24"/>
          <w:u w:val="single"/>
        </w:rPr>
        <w:t xml:space="preserve"> </w:t>
      </w:r>
      <w:r>
        <w:rPr>
          <w:rFonts w:hint="eastAsia"/>
          <w:sz w:val="24"/>
          <w:u w:val="single"/>
          <w:lang w:val="en-US" w:eastAsia="zh-CN"/>
        </w:rPr>
        <w:t>60</w:t>
      </w:r>
      <w:r>
        <w:rPr>
          <w:sz w:val="24"/>
          <w:u w:val="single"/>
        </w:rPr>
        <w:t xml:space="preserve"> </w:t>
      </w:r>
      <w:r>
        <w:rPr>
          <w:sz w:val="24"/>
        </w:rPr>
        <w:t>日内提供正式税务发票</w:t>
      </w:r>
      <w:r>
        <w:rPr>
          <w:rFonts w:hint="eastAsia"/>
          <w:sz w:val="24"/>
        </w:rPr>
        <w:t>，否则甲方有权顺延付款。现场交货条件下，乙方应提交</w:t>
      </w:r>
      <w:r>
        <w:rPr>
          <w:rFonts w:hint="eastAsia"/>
          <w:sz w:val="24"/>
          <w:u w:val="single"/>
          <w:lang w:val="en-US" w:eastAsia="zh-CN"/>
        </w:rPr>
        <w:t>全额增值税专用</w:t>
      </w:r>
      <w:r>
        <w:rPr>
          <w:rFonts w:hint="eastAsia"/>
          <w:sz w:val="24"/>
        </w:rPr>
        <w:t>发票（税率</w:t>
      </w:r>
      <w:r>
        <w:rPr>
          <w:sz w:val="24"/>
          <w:u w:val="single"/>
        </w:rPr>
        <w:t xml:space="preserve"> </w:t>
      </w:r>
      <w:r>
        <w:rPr>
          <w:rFonts w:hint="eastAsia"/>
          <w:sz w:val="24"/>
          <w:u w:val="single"/>
          <w:lang w:val="en-US" w:eastAsia="zh-CN"/>
        </w:rPr>
        <w:t xml:space="preserve"> </w:t>
      </w:r>
      <w:bookmarkStart w:id="0" w:name="_GoBack"/>
      <w:bookmarkEnd w:id="0"/>
      <w:r>
        <w:rPr>
          <w:rFonts w:hint="eastAsia"/>
          <w:sz w:val="24"/>
        </w:rPr>
        <w:t>%）。</w:t>
      </w:r>
    </w:p>
    <w:p>
      <w:pPr>
        <w:spacing w:line="360" w:lineRule="auto"/>
        <w:ind w:firstLine="480" w:firstLineChars="200"/>
        <w:rPr>
          <w:sz w:val="24"/>
        </w:rPr>
      </w:pPr>
      <w:r>
        <w:rPr>
          <w:rFonts w:hint="eastAsia"/>
          <w:sz w:val="24"/>
        </w:rPr>
        <w:t>3.3甲方的付款并不限制甲方在随后时间对已开具发票的费用提出争议或对合同中不满意的服务、不符合要求的产品进行索赔的权利。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3.4甲方有权从应付乙方的款项中抵扣乙方按本合同应支付给甲方的费用，包括但不限于违约金、赔偿金、乙方造成的一切损失、债务。</w:t>
      </w: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rFonts w:hint="eastAsia"/>
          <w:sz w:val="24"/>
        </w:rPr>
      </w:pPr>
      <w:sdt>
        <w:sdtPr>
          <w:rPr>
            <w:rFonts w:hint="eastAsia"/>
            <w:sz w:val="24"/>
          </w:rPr>
          <w:id w:val="-22404436"/>
        </w:sdtPr>
        <w:sdtEndPr>
          <w:rPr>
            <w:rFonts w:hint="eastAsia"/>
            <w:sz w:val="24"/>
          </w:rPr>
        </w:sdtEndPr>
        <w:sdtContent>
          <w:r>
            <w:rPr>
              <w:rFonts w:hint="eastAsia"/>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sz w:val="24"/>
            </w:rPr>
            <w:t>√</w:t>
          </w:r>
        </w:sdtContent>
      </w:sdt>
      <w:r>
        <w:rPr>
          <w:rFonts w:hint="eastAsia"/>
          <w:sz w:val="24"/>
        </w:rPr>
        <w:t>技术服务：</w:t>
      </w:r>
      <w:r>
        <w:rPr>
          <w:rFonts w:hint="eastAsia"/>
          <w:sz w:val="24"/>
          <w:u w:val="single"/>
          <w:lang w:val="en-US" w:eastAsia="zh-CN"/>
        </w:rPr>
        <w:t>详见附件1《发包说明》</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sdt>
            <w:sdtPr>
              <w:rPr>
                <w:rFonts w:hint="eastAsia"/>
                <w:sz w:val="24"/>
              </w:rPr>
              <w:id w:val="-1019545688"/>
            </w:sdtPr>
            <w:sdtEndPr>
              <w:rPr>
                <w:rFonts w:hint="eastAsia"/>
                <w:sz w:val="24"/>
              </w:rPr>
            </w:sdtEndPr>
            <w:sdtContent>
              <w:r>
                <w:rPr>
                  <w:rFonts w:hint="eastAsia"/>
                  <w:sz w:val="24"/>
                </w:rPr>
                <w:t>√</w:t>
              </w:r>
            </w:sdtContent>
          </w:sdt>
        </w:sdtContent>
      </w:sdt>
      <w:r>
        <w:rPr>
          <w:rFonts w:hint="eastAsia"/>
          <w:sz w:val="24"/>
        </w:rPr>
        <w:t>技术资料：</w:t>
      </w:r>
      <w:r>
        <w:rPr>
          <w:rFonts w:hint="eastAsia"/>
          <w:sz w:val="24"/>
          <w:u w:val="single"/>
          <w:lang w:val="en-US" w:eastAsia="zh-CN"/>
        </w:rPr>
        <w:t>详见附件1《发包说明》</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rFonts w:hint="eastAsia"/>
          <w:sz w:val="24"/>
          <w:lang w:val="en-US" w:eastAsia="zh-CN"/>
        </w:rPr>
        <w:t>软件安装调试合格之日起12</w:t>
      </w:r>
      <w:r>
        <w:rPr>
          <w:rFonts w:hint="eastAsia"/>
          <w:sz w:val="24"/>
        </w:rPr>
        <w:t xml:space="preserve">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w:t>
      </w:r>
      <w:r>
        <w:rPr>
          <w:rFonts w:hint="eastAsia"/>
          <w:color w:val="FF0000"/>
          <w:sz w:val="24"/>
        </w:rPr>
        <w:t>/提供安装调试服务的</w:t>
      </w:r>
      <w:r>
        <w:rPr>
          <w:rFonts w:hint="eastAsia"/>
          <w:sz w:val="24"/>
        </w:rPr>
        <w:t>，每日按照</w:t>
      </w:r>
      <w:r>
        <w:rPr>
          <w:rFonts w:hint="eastAsia"/>
          <w:color w:val="000000" w:themeColor="text1"/>
          <w:sz w:val="24"/>
        </w:rPr>
        <w:t>合同总额的</w:t>
      </w:r>
      <w:r>
        <w:rPr>
          <w:color w:val="000000" w:themeColor="text1"/>
          <w:sz w:val="24"/>
          <w:u w:val="single"/>
        </w:rPr>
        <w:t xml:space="preserve"> </w:t>
      </w:r>
      <w:r>
        <w:rPr>
          <w:rFonts w:hint="eastAsia"/>
          <w:color w:val="000000" w:themeColor="text1"/>
          <w:sz w:val="24"/>
          <w:u w:val="single"/>
          <w:lang w:val="en-US" w:eastAsia="zh-CN"/>
        </w:rPr>
        <w:t>0.1</w:t>
      </w:r>
      <w:r>
        <w:rPr>
          <w:color w:val="000000" w:themeColor="text1"/>
          <w:sz w:val="24"/>
          <w:u w:val="single"/>
        </w:rPr>
        <w:t xml:space="preserve"> </w:t>
      </w:r>
      <w:r>
        <w:rPr>
          <w:rFonts w:hint="eastAsia"/>
          <w:color w:val="000000" w:themeColor="text1"/>
          <w:sz w:val="24"/>
        </w:rPr>
        <w:t>%向甲方支付违约金，逾期超过</w:t>
      </w:r>
      <w:r>
        <w:rPr>
          <w:sz w:val="24"/>
          <w:u w:val="single"/>
        </w:rPr>
        <w:t xml:space="preserve"> </w:t>
      </w:r>
      <w:r>
        <w:rPr>
          <w:rFonts w:hint="eastAsia"/>
          <w:sz w:val="24"/>
          <w:u w:val="single"/>
          <w:lang w:val="en-US" w:eastAsia="zh-CN"/>
        </w:rPr>
        <w:t>15</w:t>
      </w:r>
      <w:r>
        <w:rPr>
          <w:sz w:val="24"/>
          <w:u w:val="single"/>
        </w:rPr>
        <w:t xml:space="preserve"> </w:t>
      </w:r>
      <w:r>
        <w:rPr>
          <w:rFonts w:hint="eastAsia"/>
          <w:sz w:val="24"/>
        </w:rPr>
        <w:t>日的，甲方有权解除合同，并要求乙方一次性支付合同总额</w:t>
      </w:r>
      <w:r>
        <w:rPr>
          <w:rFonts w:hint="eastAsia"/>
          <w:sz w:val="24"/>
          <w:u w:val="single"/>
          <w:lang w:val="en-US" w:eastAsia="zh-CN"/>
        </w:rPr>
        <w:t>20</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rFonts w:hint="eastAsia"/>
          <w:sz w:val="24"/>
        </w:rPr>
      </w:pPr>
      <w:r>
        <w:rPr>
          <w:rFonts w:hint="eastAsia"/>
          <w:sz w:val="24"/>
        </w:rPr>
        <w:t>8.4 一方的违约行为给对方造成的损失超过本合同约定的违约金数额的，超出部分，违约方应予以赔偿。</w:t>
      </w:r>
    </w:p>
    <w:p>
      <w:pPr>
        <w:spacing w:line="360" w:lineRule="auto"/>
        <w:ind w:firstLine="360" w:firstLineChars="150"/>
        <w:rPr>
          <w:rFonts w:hint="eastAsia"/>
          <w:sz w:val="24"/>
        </w:rPr>
      </w:pPr>
      <w:r>
        <w:rPr>
          <w:rFonts w:hint="eastAsia"/>
          <w:sz w:val="24"/>
        </w:rPr>
        <w:t xml:space="preserve">8.5 </w:t>
      </w:r>
      <w:r>
        <w:rPr>
          <w:rFonts w:hint="eastAsia"/>
          <w:color w:val="FF0000"/>
          <w:sz w:val="24"/>
        </w:rPr>
        <w:t>乙方应保证提供的系统不侵犯任何第三方的知识产权，若有，所产生的一切责任由乙方自行承担。</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numPr>
          <w:ilvl w:val="0"/>
          <w:numId w:val="1"/>
        </w:numPr>
        <w:spacing w:line="360" w:lineRule="auto"/>
        <w:ind w:firstLine="480" w:firstLineChars="200"/>
        <w:rPr>
          <w:rFonts w:hint="eastAsia"/>
          <w:sz w:val="24"/>
        </w:rPr>
      </w:pPr>
      <w:r>
        <w:rPr>
          <w:rFonts w:hint="eastAsia"/>
          <w:sz w:val="24"/>
        </w:rPr>
        <w:t>本合同一式</w:t>
      </w:r>
      <w:r>
        <w:rPr>
          <w:rFonts w:hint="eastAsia"/>
          <w:sz w:val="24"/>
          <w:lang w:val="en-US" w:eastAsia="zh-CN"/>
        </w:rPr>
        <w:t>肆</w:t>
      </w:r>
      <w:r>
        <w:rPr>
          <w:rFonts w:hint="eastAsia"/>
          <w:sz w:val="24"/>
        </w:rPr>
        <w:t>份，经双方签订后生效，甲方执</w:t>
      </w:r>
      <w:r>
        <w:rPr>
          <w:rFonts w:hint="eastAsia"/>
          <w:sz w:val="24"/>
          <w:lang w:val="en-US" w:eastAsia="zh-CN"/>
        </w:rPr>
        <w:t>叁</w:t>
      </w:r>
      <w:r>
        <w:rPr>
          <w:rFonts w:hint="eastAsia"/>
          <w:sz w:val="24"/>
        </w:rPr>
        <w:t>份、乙方执</w:t>
      </w:r>
      <w:r>
        <w:rPr>
          <w:rFonts w:hint="eastAsia"/>
          <w:sz w:val="24"/>
          <w:lang w:val="en-US" w:eastAsia="zh-CN"/>
        </w:rPr>
        <w:t>壹</w:t>
      </w:r>
      <w:r>
        <w:rPr>
          <w:rFonts w:hint="eastAsia"/>
          <w:sz w:val="24"/>
        </w:rPr>
        <w:t>份，具有同等效力。</w:t>
      </w:r>
    </w:p>
    <w:p>
      <w:pPr>
        <w:widowControl w:val="0"/>
        <w:numPr>
          <w:ilvl w:val="0"/>
          <w:numId w:val="0"/>
        </w:numPr>
        <w:spacing w:line="360" w:lineRule="auto"/>
        <w:jc w:val="both"/>
        <w:rPr>
          <w:rFonts w:hint="eastAsia"/>
          <w:sz w:val="24"/>
          <w:lang w:val="en-US" w:eastAsia="zh-CN"/>
        </w:rPr>
      </w:pPr>
      <w:r>
        <w:rPr>
          <w:rFonts w:hint="eastAsia"/>
          <w:sz w:val="24"/>
          <w:lang w:val="en-US" w:eastAsia="zh-CN"/>
        </w:rPr>
        <w:t>附件1、《发包说明》</w:t>
      </w:r>
    </w:p>
    <w:p>
      <w:pPr>
        <w:widowControl w:val="0"/>
        <w:numPr>
          <w:ilvl w:val="0"/>
          <w:numId w:val="0"/>
        </w:numPr>
        <w:spacing w:line="360" w:lineRule="auto"/>
        <w:jc w:val="both"/>
        <w:rPr>
          <w:rFonts w:hint="default"/>
          <w:sz w:val="24"/>
          <w:lang w:val="en-US" w:eastAsia="zh-CN"/>
        </w:rPr>
      </w:pPr>
      <w:r>
        <w:rPr>
          <w:rFonts w:hint="eastAsia"/>
          <w:sz w:val="24"/>
          <w:lang w:val="en-US" w:eastAsia="zh-CN"/>
        </w:rPr>
        <w:t>附件2、《人员、车辆入厂安全管理协议》</w:t>
      </w:r>
    </w:p>
    <w:p>
      <w:pPr>
        <w:widowControl w:val="0"/>
        <w:numPr>
          <w:ilvl w:val="0"/>
          <w:numId w:val="0"/>
        </w:numPr>
        <w:spacing w:line="360" w:lineRule="auto"/>
        <w:jc w:val="both"/>
        <w:rPr>
          <w:rFonts w:hint="eastAsia"/>
          <w:sz w:val="24"/>
        </w:rPr>
      </w:pPr>
    </w:p>
    <w:p>
      <w:pPr>
        <w:widowControl w:val="0"/>
        <w:numPr>
          <w:ilvl w:val="0"/>
          <w:numId w:val="0"/>
        </w:numPr>
        <w:spacing w:line="360" w:lineRule="auto"/>
        <w:jc w:val="both"/>
        <w:rPr>
          <w:rFonts w:hint="eastAsia"/>
          <w:sz w:val="24"/>
        </w:rPr>
      </w:pPr>
    </w:p>
    <w:p>
      <w:pPr>
        <w:widowControl w:val="0"/>
        <w:numPr>
          <w:ilvl w:val="0"/>
          <w:numId w:val="0"/>
        </w:numPr>
        <w:spacing w:line="360" w:lineRule="auto"/>
        <w:jc w:val="both"/>
        <w:rPr>
          <w:rFonts w:hint="eastAsia"/>
          <w:b/>
          <w:bCs/>
          <w:sz w:val="24"/>
          <w:lang w:val="en-US" w:eastAsia="zh-CN"/>
        </w:rPr>
      </w:pPr>
      <w:r>
        <w:rPr>
          <w:rFonts w:hint="eastAsia"/>
          <w:b/>
          <w:bCs/>
          <w:sz w:val="24"/>
          <w:lang w:val="en-US" w:eastAsia="zh-CN"/>
        </w:rPr>
        <w:t>（以下无正文，仅为签署页）</w:t>
      </w:r>
    </w:p>
    <w:p>
      <w:pPr>
        <w:widowControl w:val="0"/>
        <w:numPr>
          <w:ilvl w:val="0"/>
          <w:numId w:val="0"/>
        </w:numPr>
        <w:spacing w:line="360" w:lineRule="auto"/>
        <w:jc w:val="both"/>
        <w:rPr>
          <w:rFonts w:hint="default"/>
          <w:b/>
          <w:bCs/>
          <w:sz w:val="24"/>
          <w:lang w:val="en-US" w:eastAsia="zh-CN"/>
        </w:rPr>
      </w:pPr>
    </w:p>
    <w:tbl>
      <w:tblPr>
        <w:tblStyle w:val="6"/>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eastAsia="宋体"/>
                <w:sz w:val="24"/>
                <w:lang w:eastAsia="zh-CN"/>
              </w:rPr>
              <w:t>甲方：</w:t>
            </w:r>
            <w:r>
              <w:rPr>
                <w:rFonts w:hint="eastAsia"/>
                <w:sz w:val="24"/>
                <w:szCs w:val="22"/>
                <w:lang w:eastAsia="zh-CN"/>
              </w:rPr>
              <w:t>腾龙芳烃（漳州）有限公司</w:t>
            </w:r>
          </w:p>
        </w:tc>
        <w:tc>
          <w:tcPr>
            <w:tcW w:w="4821" w:type="dxa"/>
            <w:vAlign w:val="center"/>
          </w:tcPr>
          <w:p>
            <w:pPr>
              <w:spacing w:line="360" w:lineRule="auto"/>
              <w:rPr>
                <w:sz w:val="24"/>
              </w:rPr>
            </w:pPr>
            <w:r>
              <w:rPr>
                <w:rFonts w:hint="eastAsia"/>
                <w:sz w:val="24"/>
              </w:rPr>
              <w:t>乙方：</w:t>
            </w:r>
            <w:r>
              <w:rPr>
                <w:rFonts w:hint="eastAsia"/>
                <w:sz w:val="24"/>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r>
              <w:rPr>
                <w:rFonts w:hint="eastAsia"/>
                <w:sz w:val="24"/>
                <w:lang w:val="en-US" w:eastAsia="zh-CN"/>
              </w:rPr>
              <w:t>漳州市漳浦县古雷半岛</w:t>
            </w:r>
          </w:p>
        </w:tc>
        <w:tc>
          <w:tcPr>
            <w:tcW w:w="4821" w:type="dxa"/>
            <w:vAlign w:val="center"/>
          </w:tcPr>
          <w:p>
            <w:pPr>
              <w:spacing w:line="360" w:lineRule="auto"/>
              <w:rPr>
                <w:sz w:val="24"/>
                <w:highlight w:val="yellow"/>
              </w:rPr>
            </w:pPr>
            <w:r>
              <w:rPr>
                <w:rFonts w:hint="eastAsia"/>
                <w:sz w:val="24"/>
                <w:lang w:val="en-US" w:eastAsia="zh-CN"/>
              </w:rPr>
              <w:t xml:space="preserve">联系地址：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r>
              <w:rPr>
                <w:rFonts w:hint="eastAsia"/>
                <w:sz w:val="24"/>
                <w:lang w:val="en-US" w:eastAsia="zh-CN"/>
              </w:rPr>
              <w:t>363200</w:t>
            </w:r>
          </w:p>
        </w:tc>
        <w:tc>
          <w:tcPr>
            <w:tcW w:w="4821" w:type="dxa"/>
            <w:vAlign w:val="center"/>
          </w:tcPr>
          <w:p>
            <w:pPr>
              <w:spacing w:line="360" w:lineRule="auto"/>
              <w:rPr>
                <w:sz w:val="24"/>
                <w:highlight w:val="yellow"/>
              </w:rPr>
            </w:pPr>
            <w:r>
              <w:rPr>
                <w:rFonts w:hint="eastAsia"/>
                <w:sz w:val="24"/>
                <w:lang w:val="en-US" w:eastAsia="zh-CN"/>
              </w:rPr>
              <w:t xml:space="preserve">邮编：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highlight w:val="yellow"/>
              </w:rPr>
            </w:pPr>
            <w:r>
              <w:rPr>
                <w:rFonts w:hint="eastAsia"/>
                <w:sz w:val="24"/>
                <w:lang w:val="en-US" w:eastAsia="zh-CN"/>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r>
              <w:rPr>
                <w:rFonts w:hint="eastAsia"/>
                <w:sz w:val="24"/>
                <w:lang w:val="en-US" w:eastAsia="zh-CN"/>
              </w:rPr>
              <w:t>xydai@fhcpec.com.cn</w:t>
            </w:r>
          </w:p>
        </w:tc>
        <w:tc>
          <w:tcPr>
            <w:tcW w:w="4821" w:type="dxa"/>
            <w:vAlign w:val="center"/>
          </w:tcPr>
          <w:p>
            <w:pPr>
              <w:spacing w:line="360" w:lineRule="auto"/>
              <w:rPr>
                <w:sz w:val="24"/>
                <w:highlight w:val="yellow"/>
              </w:rPr>
            </w:pPr>
            <w:r>
              <w:rPr>
                <w:rFonts w:hint="eastAsia"/>
                <w:sz w:val="24"/>
                <w:lang w:val="en-US" w:eastAsia="zh-CN"/>
              </w:rPr>
              <w:t xml:space="preserve">电子邮箱：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r>
              <w:rPr>
                <w:rFonts w:hint="eastAsia"/>
                <w:sz w:val="24"/>
                <w:lang w:val="en-US" w:eastAsia="zh-CN"/>
              </w:rPr>
              <w:t>0596-6311078</w:t>
            </w:r>
          </w:p>
        </w:tc>
        <w:tc>
          <w:tcPr>
            <w:tcW w:w="4821" w:type="dxa"/>
            <w:vAlign w:val="center"/>
          </w:tcPr>
          <w:p>
            <w:pPr>
              <w:spacing w:line="360" w:lineRule="auto"/>
              <w:rPr>
                <w:sz w:val="24"/>
                <w:highlight w:val="yellow"/>
              </w:rPr>
            </w:pPr>
            <w:r>
              <w:rPr>
                <w:rFonts w:hint="eastAsia"/>
                <w:sz w:val="24"/>
                <w:lang w:val="en-US" w:eastAsia="zh-CN"/>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lang w:val="en-US" w:eastAsia="zh-CN"/>
              </w:rPr>
              <w:t>开户银行：中国农业银行股份有限公司漳浦古雷石化支行</w:t>
            </w:r>
          </w:p>
        </w:tc>
        <w:tc>
          <w:tcPr>
            <w:tcW w:w="4821" w:type="dxa"/>
            <w:vAlign w:val="center"/>
          </w:tcPr>
          <w:p>
            <w:pPr>
              <w:spacing w:line="360" w:lineRule="auto"/>
              <w:rPr>
                <w:sz w:val="24"/>
                <w:highlight w:val="yellow"/>
              </w:rPr>
            </w:pPr>
            <w:r>
              <w:rPr>
                <w:rFonts w:hint="eastAsia"/>
                <w:sz w:val="24"/>
                <w:lang w:val="en-US" w:eastAsia="zh-CN"/>
              </w:rPr>
              <w:t xml:space="preserve">开户银行：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r>
              <w:rPr>
                <w:rFonts w:hint="eastAsia"/>
                <w:sz w:val="24"/>
                <w:lang w:val="en-US" w:eastAsia="zh-CN"/>
              </w:rPr>
              <w:t>13641501040004550</w:t>
            </w:r>
          </w:p>
        </w:tc>
        <w:tc>
          <w:tcPr>
            <w:tcW w:w="4821" w:type="dxa"/>
            <w:vAlign w:val="center"/>
          </w:tcPr>
          <w:p>
            <w:pPr>
              <w:spacing w:line="360" w:lineRule="auto"/>
              <w:rPr>
                <w:sz w:val="24"/>
                <w:highlight w:val="yellow"/>
              </w:rPr>
            </w:pPr>
            <w:r>
              <w:rPr>
                <w:rFonts w:hint="eastAsia"/>
                <w:sz w:val="24"/>
                <w:lang w:val="en-US" w:eastAsia="zh-CN"/>
              </w:rPr>
              <w:t xml:space="preserve">账号： </w:t>
            </w:r>
          </w:p>
        </w:tc>
      </w:tr>
    </w:tbl>
    <w:p>
      <w:pPr>
        <w:spacing w:line="20" w:lineRule="exact"/>
        <w:rPr>
          <w:sz w:val="24"/>
        </w:rPr>
      </w:pPr>
    </w:p>
    <w:p>
      <w:pPr>
        <w:spacing w:line="20" w:lineRule="exact"/>
        <w:rPr>
          <w:sz w:val="24"/>
        </w:rPr>
      </w:pPr>
    </w:p>
    <w:sectPr>
      <w:headerReference r:id="rId3" w:type="default"/>
      <w:footerReference r:id="rId4" w:type="default"/>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33F623"/>
    <w:multiLevelType w:val="singleLevel"/>
    <w:tmpl w:val="4933F623"/>
    <w:lvl w:ilvl="0" w:tentative="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E0OWMxNzIzNjM0ZjBlOTkzZDk1NjljYWYwMmYwMDgifQ=="/>
  </w:docVars>
  <w:rsids>
    <w:rsidRoot w:val="00172A27"/>
    <w:rsid w:val="00001DEA"/>
    <w:rsid w:val="0001688C"/>
    <w:rsid w:val="00027F68"/>
    <w:rsid w:val="00065C50"/>
    <w:rsid w:val="00076EBC"/>
    <w:rsid w:val="00086F2E"/>
    <w:rsid w:val="000A720F"/>
    <w:rsid w:val="000B1C8B"/>
    <w:rsid w:val="000C12E5"/>
    <w:rsid w:val="000D5A21"/>
    <w:rsid w:val="000D7C26"/>
    <w:rsid w:val="000F6A54"/>
    <w:rsid w:val="001008C9"/>
    <w:rsid w:val="00102B81"/>
    <w:rsid w:val="0015082E"/>
    <w:rsid w:val="00160967"/>
    <w:rsid w:val="00172A27"/>
    <w:rsid w:val="00182B74"/>
    <w:rsid w:val="0019108D"/>
    <w:rsid w:val="001D0243"/>
    <w:rsid w:val="001D4D45"/>
    <w:rsid w:val="00202AAC"/>
    <w:rsid w:val="00250F7F"/>
    <w:rsid w:val="00267BBF"/>
    <w:rsid w:val="00296BBB"/>
    <w:rsid w:val="002B0FE6"/>
    <w:rsid w:val="002B1FD2"/>
    <w:rsid w:val="002C47AC"/>
    <w:rsid w:val="002D4E40"/>
    <w:rsid w:val="003149F2"/>
    <w:rsid w:val="00324CED"/>
    <w:rsid w:val="00374A40"/>
    <w:rsid w:val="003970DB"/>
    <w:rsid w:val="003A0642"/>
    <w:rsid w:val="003A329B"/>
    <w:rsid w:val="003C3BFE"/>
    <w:rsid w:val="003C6FAC"/>
    <w:rsid w:val="003E7EDE"/>
    <w:rsid w:val="00415991"/>
    <w:rsid w:val="004270E4"/>
    <w:rsid w:val="00437B62"/>
    <w:rsid w:val="004A50C5"/>
    <w:rsid w:val="004B1EB2"/>
    <w:rsid w:val="004B39F8"/>
    <w:rsid w:val="004B6785"/>
    <w:rsid w:val="004B704A"/>
    <w:rsid w:val="004E672D"/>
    <w:rsid w:val="004F4123"/>
    <w:rsid w:val="004F6318"/>
    <w:rsid w:val="00505234"/>
    <w:rsid w:val="00506B80"/>
    <w:rsid w:val="005151C8"/>
    <w:rsid w:val="0052667B"/>
    <w:rsid w:val="00570A9F"/>
    <w:rsid w:val="00597FCF"/>
    <w:rsid w:val="005A1641"/>
    <w:rsid w:val="005A5C5E"/>
    <w:rsid w:val="005B628E"/>
    <w:rsid w:val="005D73DC"/>
    <w:rsid w:val="005E28C6"/>
    <w:rsid w:val="006039D0"/>
    <w:rsid w:val="006050CB"/>
    <w:rsid w:val="00627370"/>
    <w:rsid w:val="006448C2"/>
    <w:rsid w:val="006A06DD"/>
    <w:rsid w:val="006A7F63"/>
    <w:rsid w:val="006C72D5"/>
    <w:rsid w:val="006F087B"/>
    <w:rsid w:val="0072421D"/>
    <w:rsid w:val="00736B18"/>
    <w:rsid w:val="007576C2"/>
    <w:rsid w:val="0076005B"/>
    <w:rsid w:val="00761B4B"/>
    <w:rsid w:val="00785634"/>
    <w:rsid w:val="007A526B"/>
    <w:rsid w:val="007B4714"/>
    <w:rsid w:val="007C34F9"/>
    <w:rsid w:val="007C41B4"/>
    <w:rsid w:val="007C4AD8"/>
    <w:rsid w:val="007F6561"/>
    <w:rsid w:val="00811E76"/>
    <w:rsid w:val="008138A8"/>
    <w:rsid w:val="00821F55"/>
    <w:rsid w:val="008307E9"/>
    <w:rsid w:val="0084443D"/>
    <w:rsid w:val="0084591A"/>
    <w:rsid w:val="00845EF3"/>
    <w:rsid w:val="0089426F"/>
    <w:rsid w:val="008966BB"/>
    <w:rsid w:val="008A4312"/>
    <w:rsid w:val="008B5789"/>
    <w:rsid w:val="008C119C"/>
    <w:rsid w:val="008D4361"/>
    <w:rsid w:val="008E760F"/>
    <w:rsid w:val="008F0C74"/>
    <w:rsid w:val="008F5D67"/>
    <w:rsid w:val="0093003A"/>
    <w:rsid w:val="00932C82"/>
    <w:rsid w:val="009B0584"/>
    <w:rsid w:val="009D62DD"/>
    <w:rsid w:val="009E0FF4"/>
    <w:rsid w:val="00A56908"/>
    <w:rsid w:val="00A623AF"/>
    <w:rsid w:val="00A76FCC"/>
    <w:rsid w:val="00B0650A"/>
    <w:rsid w:val="00B176F5"/>
    <w:rsid w:val="00B37CB5"/>
    <w:rsid w:val="00B50688"/>
    <w:rsid w:val="00B70F25"/>
    <w:rsid w:val="00BC2D46"/>
    <w:rsid w:val="00C11F9B"/>
    <w:rsid w:val="00C22710"/>
    <w:rsid w:val="00C32CDC"/>
    <w:rsid w:val="00C44019"/>
    <w:rsid w:val="00C75DCD"/>
    <w:rsid w:val="00C9285C"/>
    <w:rsid w:val="00CA6830"/>
    <w:rsid w:val="00CE0512"/>
    <w:rsid w:val="00D2346D"/>
    <w:rsid w:val="00D317EF"/>
    <w:rsid w:val="00D47F0A"/>
    <w:rsid w:val="00D74550"/>
    <w:rsid w:val="00D945E9"/>
    <w:rsid w:val="00DA7E4C"/>
    <w:rsid w:val="00DB7EDD"/>
    <w:rsid w:val="00DC4E0D"/>
    <w:rsid w:val="00DD77B9"/>
    <w:rsid w:val="00E3365B"/>
    <w:rsid w:val="00E73FD1"/>
    <w:rsid w:val="00E7713D"/>
    <w:rsid w:val="00EA32A2"/>
    <w:rsid w:val="00EB6C1E"/>
    <w:rsid w:val="00ED7A5E"/>
    <w:rsid w:val="00EF5745"/>
    <w:rsid w:val="00EF69C8"/>
    <w:rsid w:val="00F10921"/>
    <w:rsid w:val="00F20CA7"/>
    <w:rsid w:val="00F4582E"/>
    <w:rsid w:val="00F54537"/>
    <w:rsid w:val="00FB03C9"/>
    <w:rsid w:val="00FF0570"/>
    <w:rsid w:val="029D14C1"/>
    <w:rsid w:val="0DAB0DD7"/>
    <w:rsid w:val="15FD634D"/>
    <w:rsid w:val="17AB566B"/>
    <w:rsid w:val="1B055BCB"/>
    <w:rsid w:val="253563E5"/>
    <w:rsid w:val="35316CAE"/>
    <w:rsid w:val="473F7534"/>
    <w:rsid w:val="48522AEA"/>
    <w:rsid w:val="513D474B"/>
    <w:rsid w:val="54F545D3"/>
    <w:rsid w:val="57BE4755"/>
    <w:rsid w:val="6D864730"/>
    <w:rsid w:val="6D9B0B1A"/>
    <w:rsid w:val="6E7F63C5"/>
    <w:rsid w:val="6F1C77F2"/>
    <w:rsid w:val="71A04688"/>
    <w:rsid w:val="7FDF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basedOn w:val="7"/>
    <w:link w:val="3"/>
    <w:qFormat/>
    <w:uiPriority w:val="0"/>
    <w:rPr>
      <w:kern w:val="2"/>
      <w:sz w:val="18"/>
      <w:szCs w:val="18"/>
    </w:rPr>
  </w:style>
  <w:style w:type="character" w:customStyle="1" w:styleId="9">
    <w:name w:val="页眉 Char"/>
    <w:basedOn w:val="7"/>
    <w:link w:val="4"/>
    <w:qFormat/>
    <w:uiPriority w:val="0"/>
    <w:rPr>
      <w:kern w:val="2"/>
      <w:sz w:val="18"/>
      <w:szCs w:val="18"/>
    </w:rPr>
  </w:style>
  <w:style w:type="character" w:customStyle="1" w:styleId="10">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3392</Words>
  <Characters>3797</Characters>
  <Lines>26</Lines>
  <Paragraphs>7</Paragraphs>
  <TotalTime>1</TotalTime>
  <ScaleCrop>false</ScaleCrop>
  <LinksUpToDate>false</LinksUpToDate>
  <CharactersWithSpaces>4152</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2018-01-23T02:27:00Z</dcterms:created>
  <dc:creator>Skyfree</dc:creator>
  <cp:lastModifiedBy>GM10</cp:lastModifiedBy>
  <cp:lastPrinted>2014-12-18T05:04:00Z</cp:lastPrinted>
  <dcterms:modified xsi:type="dcterms:W3CDTF">2024-10-15T05:59:18Z</dcterms:modified>
  <dc:title>购销合同</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E2645B2487544DA6BEF29B16413F6AAC</vt:lpwstr>
  </property>
</Properties>
</file>