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8589A">
      <w:pPr>
        <w:pStyle w:val="19"/>
        <w:tabs>
          <w:tab w:val="left" w:pos="1760"/>
        </w:tabs>
        <w:spacing w:line="360" w:lineRule="auto"/>
        <w:rPr>
          <w:rFonts w:ascii="Times New Roman" w:hAnsi="Times New Roman" w:cs="Times New Roman"/>
          <w:sz w:val="20"/>
          <w:lang w:eastAsia="zh-CN"/>
        </w:rPr>
      </w:pPr>
    </w:p>
    <w:p w14:paraId="0BF53AFE">
      <w:pPr>
        <w:pStyle w:val="19"/>
        <w:spacing w:line="360" w:lineRule="auto"/>
        <w:rPr>
          <w:rFonts w:ascii="Times New Roman" w:hAnsi="Times New Roman" w:cs="Times New Roman"/>
          <w:sz w:val="20"/>
        </w:rPr>
      </w:pPr>
    </w:p>
    <w:p w14:paraId="63DDF1BA">
      <w:pPr>
        <w:pStyle w:val="19"/>
        <w:spacing w:line="360" w:lineRule="auto"/>
        <w:rPr>
          <w:rFonts w:ascii="Times New Roman" w:hAnsi="Times New Roman" w:cs="Times New Roman"/>
          <w:sz w:val="20"/>
        </w:rPr>
      </w:pPr>
    </w:p>
    <w:p w14:paraId="23B13DD8">
      <w:pPr>
        <w:pStyle w:val="19"/>
        <w:spacing w:before="5" w:line="360" w:lineRule="auto"/>
        <w:rPr>
          <w:rFonts w:ascii="Times New Roman" w:hAnsi="Times New Roman" w:cs="Times New Roman"/>
          <w:sz w:val="20"/>
        </w:rPr>
      </w:pPr>
    </w:p>
    <w:p w14:paraId="0A88EA49">
      <w:pPr>
        <w:pStyle w:val="19"/>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14:paraId="04B203B5">
      <w:pPr>
        <w:spacing w:line="360" w:lineRule="auto"/>
        <w:jc w:val="center"/>
        <w:rPr>
          <w:rFonts w:ascii="Times New Roman" w:hAnsi="Times New Roman" w:cs="Times New Roman"/>
          <w:b/>
          <w:bCs/>
          <w:sz w:val="36"/>
          <w:szCs w:val="36"/>
          <w:u w:val="single"/>
          <w:lang w:eastAsia="zh-CN"/>
        </w:rPr>
      </w:pPr>
    </w:p>
    <w:p w14:paraId="20D748DE">
      <w:pPr>
        <w:pStyle w:val="58"/>
        <w:spacing w:line="360" w:lineRule="auto"/>
        <w:rPr>
          <w:rFonts w:ascii="Times New Roman" w:hAnsi="Times New Roman"/>
        </w:rPr>
      </w:pPr>
    </w:p>
    <w:p w14:paraId="5B31CDE6">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 xml:space="preserve">PTA废水处理生化污泥 和TA废料检测 </w:t>
      </w:r>
      <w:r>
        <w:rPr>
          <w:rFonts w:ascii="Times New Roman" w:hAnsi="Times New Roman" w:cs="Times New Roman"/>
          <w:b/>
          <w:sz w:val="36"/>
          <w:szCs w:val="36"/>
          <w:u w:val="single"/>
          <w:lang w:eastAsia="zh-CN"/>
        </w:rPr>
        <w:t>项目比选文件</w:t>
      </w:r>
    </w:p>
    <w:p w14:paraId="09D29353">
      <w:pPr>
        <w:pStyle w:val="58"/>
        <w:jc w:val="center"/>
        <w:rPr>
          <w:sz w:val="28"/>
          <w:szCs w:val="28"/>
        </w:rPr>
      </w:pPr>
      <w:r>
        <w:rPr>
          <w:rFonts w:hint="eastAsia"/>
          <w:sz w:val="28"/>
          <w:szCs w:val="28"/>
        </w:rPr>
        <w:t>（文件编号：FHC-PTCG20241016006</w:t>
      </w:r>
      <w:r>
        <w:rPr>
          <w:rFonts w:hint="eastAsia"/>
          <w:color w:val="auto"/>
          <w:sz w:val="28"/>
          <w:szCs w:val="28"/>
        </w:rPr>
        <w:t>）</w:t>
      </w:r>
    </w:p>
    <w:p w14:paraId="0C6CE9FA">
      <w:pPr>
        <w:pStyle w:val="19"/>
        <w:spacing w:line="360" w:lineRule="auto"/>
        <w:jc w:val="center"/>
        <w:rPr>
          <w:rFonts w:ascii="Times New Roman" w:hAnsi="Times New Roman" w:cs="Times New Roman"/>
          <w:b/>
          <w:sz w:val="48"/>
          <w:szCs w:val="48"/>
          <w:u w:val="single"/>
          <w:lang w:eastAsia="zh-CN"/>
        </w:rPr>
      </w:pPr>
    </w:p>
    <w:p w14:paraId="0DB31914">
      <w:pPr>
        <w:pStyle w:val="19"/>
        <w:spacing w:line="360" w:lineRule="auto"/>
        <w:rPr>
          <w:rFonts w:ascii="Times New Roman" w:hAnsi="Times New Roman" w:cs="Times New Roman"/>
          <w:b/>
          <w:sz w:val="94"/>
          <w:lang w:eastAsia="zh-CN"/>
        </w:rPr>
      </w:pPr>
    </w:p>
    <w:p w14:paraId="7B4ECF1A">
      <w:pPr>
        <w:pStyle w:val="19"/>
        <w:spacing w:line="360" w:lineRule="auto"/>
        <w:rPr>
          <w:rFonts w:ascii="Times New Roman" w:hAnsi="Times New Roman" w:cs="Times New Roman"/>
          <w:b/>
          <w:sz w:val="94"/>
          <w:lang w:eastAsia="zh-CN"/>
        </w:rPr>
      </w:pPr>
    </w:p>
    <w:p w14:paraId="6B840F7D">
      <w:pPr>
        <w:pStyle w:val="19"/>
        <w:spacing w:line="360" w:lineRule="auto"/>
        <w:rPr>
          <w:rFonts w:ascii="Times New Roman" w:hAnsi="Times New Roman" w:cs="Times New Roman"/>
          <w:b/>
          <w:sz w:val="32"/>
          <w:szCs w:val="32"/>
          <w:lang w:eastAsia="zh-CN"/>
        </w:rPr>
      </w:pPr>
    </w:p>
    <w:p w14:paraId="471FDE9B">
      <w:pPr>
        <w:pStyle w:val="58"/>
        <w:spacing w:line="360" w:lineRule="auto"/>
        <w:jc w:val="center"/>
        <w:rPr>
          <w:rFonts w:ascii="Times New Roman" w:hAnsi="Times New Roman"/>
          <w:b/>
          <w:sz w:val="36"/>
          <w:szCs w:val="36"/>
        </w:rPr>
      </w:pPr>
    </w:p>
    <w:p w14:paraId="246489BE">
      <w:pPr>
        <w:pStyle w:val="58"/>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14:paraId="3E70127D">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val="en-US" w:eastAsia="zh-CN"/>
        </w:rPr>
        <w:t>四</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val="en-US" w:eastAsia="zh-CN"/>
        </w:rPr>
        <w:t>十</w:t>
      </w:r>
      <w:r>
        <w:rPr>
          <w:rFonts w:ascii="Times New Roman" w:hAnsi="Times New Roman" w:cs="Times New Roman"/>
          <w:b/>
          <w:w w:val="95"/>
          <w:sz w:val="36"/>
          <w:szCs w:val="36"/>
          <w:lang w:eastAsia="zh-CN"/>
        </w:rPr>
        <w:t>月</w:t>
      </w:r>
    </w:p>
    <w:p w14:paraId="7649442F">
      <w:pPr>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14:paraId="31E34046">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14:paraId="054714DA">
      <w:pPr>
        <w:pStyle w:val="19"/>
        <w:spacing w:line="360" w:lineRule="auto"/>
        <w:rPr>
          <w:rFonts w:ascii="Times New Roman" w:hAnsi="Times New Roman" w:cs="Times New Roman"/>
          <w:sz w:val="20"/>
          <w:lang w:eastAsia="zh-CN"/>
        </w:rPr>
      </w:pPr>
    </w:p>
    <w:p w14:paraId="097C1B2B">
      <w:pPr>
        <w:pStyle w:val="19"/>
        <w:spacing w:line="360" w:lineRule="auto"/>
        <w:rPr>
          <w:rFonts w:ascii="Times New Roman" w:hAnsi="Times New Roman" w:cs="Times New Roman"/>
          <w:sz w:val="20"/>
          <w:lang w:eastAsia="zh-CN"/>
        </w:rPr>
      </w:pPr>
    </w:p>
    <w:p w14:paraId="64179C14">
      <w:pPr>
        <w:pStyle w:val="19"/>
        <w:spacing w:before="9" w:line="360" w:lineRule="auto"/>
        <w:rPr>
          <w:rFonts w:ascii="Times New Roman" w:hAnsi="Times New Roman" w:cs="Times New Roman"/>
          <w:lang w:eastAsia="zh-CN"/>
        </w:rPr>
      </w:pPr>
    </w:p>
    <w:p w14:paraId="53B97425">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14:paraId="71B28881">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14:paraId="05B57EA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14:paraId="2FED8001">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14:paraId="3C57A731">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14:paraId="0CB981F7">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14:paraId="2BCEC10C">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14:paraId="3597EE1E">
      <w:pPr>
        <w:tabs>
          <w:tab w:val="left" w:pos="709"/>
        </w:tabs>
        <w:spacing w:line="360" w:lineRule="auto"/>
        <w:rPr>
          <w:rFonts w:ascii="Times New Roman" w:hAnsi="Times New Roman" w:cs="Times New Roman"/>
          <w:sz w:val="24"/>
          <w:szCs w:val="24"/>
          <w:lang w:eastAsia="zh-CN"/>
        </w:rPr>
      </w:pPr>
    </w:p>
    <w:p w14:paraId="3919922C">
      <w:pPr>
        <w:tabs>
          <w:tab w:val="left" w:pos="709"/>
        </w:tabs>
        <w:spacing w:line="360" w:lineRule="auto"/>
        <w:rPr>
          <w:rFonts w:ascii="Times New Roman" w:hAnsi="Times New Roman" w:cs="Times New Roman"/>
          <w:sz w:val="24"/>
          <w:szCs w:val="24"/>
          <w:lang w:eastAsia="zh-CN"/>
        </w:rPr>
      </w:pPr>
    </w:p>
    <w:p w14:paraId="327334A0">
      <w:pPr>
        <w:tabs>
          <w:tab w:val="left" w:pos="709"/>
        </w:tabs>
        <w:spacing w:line="360" w:lineRule="auto"/>
        <w:rPr>
          <w:rFonts w:ascii="Times New Roman" w:hAnsi="Times New Roman" w:cs="Times New Roman"/>
          <w:sz w:val="24"/>
          <w:szCs w:val="24"/>
          <w:lang w:eastAsia="zh-CN"/>
        </w:rPr>
      </w:pPr>
    </w:p>
    <w:p w14:paraId="62759298">
      <w:pPr>
        <w:tabs>
          <w:tab w:val="left" w:pos="709"/>
        </w:tabs>
        <w:spacing w:line="360" w:lineRule="auto"/>
        <w:rPr>
          <w:rFonts w:ascii="Times New Roman" w:hAnsi="Times New Roman" w:cs="Times New Roman"/>
          <w:sz w:val="24"/>
          <w:szCs w:val="24"/>
          <w:lang w:eastAsia="zh-CN"/>
        </w:rPr>
      </w:pPr>
    </w:p>
    <w:p w14:paraId="7663C49E">
      <w:pPr>
        <w:pStyle w:val="58"/>
        <w:spacing w:line="360" w:lineRule="auto"/>
        <w:rPr>
          <w:rFonts w:ascii="Times New Roman" w:hAnsi="Times New Roman"/>
          <w:sz w:val="24"/>
          <w:szCs w:val="24"/>
        </w:rPr>
      </w:pPr>
    </w:p>
    <w:p w14:paraId="490231E1">
      <w:pPr>
        <w:pStyle w:val="58"/>
        <w:spacing w:line="360" w:lineRule="auto"/>
        <w:rPr>
          <w:rFonts w:ascii="Times New Roman" w:hAnsi="Times New Roman"/>
          <w:sz w:val="24"/>
          <w:szCs w:val="24"/>
        </w:rPr>
      </w:pPr>
    </w:p>
    <w:p w14:paraId="137D4DB6">
      <w:pPr>
        <w:tabs>
          <w:tab w:val="left" w:pos="709"/>
        </w:tabs>
        <w:spacing w:line="360" w:lineRule="auto"/>
        <w:rPr>
          <w:rFonts w:ascii="Times New Roman" w:hAnsi="Times New Roman" w:cs="Times New Roman"/>
          <w:sz w:val="24"/>
          <w:szCs w:val="24"/>
          <w:lang w:eastAsia="zh-CN"/>
        </w:rPr>
      </w:pPr>
    </w:p>
    <w:p w14:paraId="402425D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14:paraId="3FFE245A">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14:paraId="2B0F4F1F">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14:paraId="04C9752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PTA废水处理生化污泥和TA废料浸出毒性鉴别发包说明(修)</w:t>
      </w:r>
      <w:r>
        <w:rPr>
          <w:rFonts w:ascii="Times New Roman" w:hAnsi="Times New Roman" w:cs="Times New Roman"/>
          <w:sz w:val="24"/>
          <w:szCs w:val="24"/>
          <w:lang w:eastAsia="zh-CN"/>
        </w:rPr>
        <w:t>》</w:t>
      </w:r>
    </w:p>
    <w:p w14:paraId="3D44CA03">
      <w:pPr>
        <w:tabs>
          <w:tab w:val="left" w:pos="1272"/>
        </w:tabs>
        <w:spacing w:line="336" w:lineRule="auto"/>
        <w:ind w:left="9"/>
        <w:jc w:val="center"/>
        <w:rPr>
          <w:rFonts w:ascii="Times New Roman" w:hAnsi="Times New Roman" w:cs="Times New Roman"/>
          <w:b/>
          <w:sz w:val="28"/>
          <w:lang w:eastAsia="zh-CN"/>
        </w:rPr>
      </w:pPr>
    </w:p>
    <w:p w14:paraId="57281FE5">
      <w:pPr>
        <w:tabs>
          <w:tab w:val="left" w:pos="1272"/>
        </w:tabs>
        <w:spacing w:line="336" w:lineRule="auto"/>
        <w:ind w:left="9"/>
        <w:jc w:val="center"/>
        <w:rPr>
          <w:rFonts w:ascii="Times New Roman" w:hAnsi="Times New Roman" w:cs="Times New Roman"/>
          <w:b/>
          <w:sz w:val="28"/>
          <w:lang w:eastAsia="zh-CN"/>
        </w:rPr>
      </w:pPr>
    </w:p>
    <w:p w14:paraId="11329665">
      <w:pPr>
        <w:tabs>
          <w:tab w:val="left" w:pos="1272"/>
        </w:tabs>
        <w:spacing w:line="336" w:lineRule="auto"/>
        <w:ind w:left="9"/>
        <w:jc w:val="center"/>
        <w:rPr>
          <w:rFonts w:ascii="Times New Roman" w:hAnsi="Times New Roman" w:cs="Times New Roman"/>
          <w:b/>
          <w:sz w:val="28"/>
          <w:lang w:eastAsia="zh-CN"/>
        </w:rPr>
      </w:pPr>
    </w:p>
    <w:p w14:paraId="2E92D505">
      <w:pPr>
        <w:tabs>
          <w:tab w:val="left" w:pos="1272"/>
        </w:tabs>
        <w:spacing w:line="336" w:lineRule="auto"/>
        <w:ind w:left="9"/>
        <w:jc w:val="center"/>
        <w:rPr>
          <w:rFonts w:ascii="Times New Roman" w:hAnsi="Times New Roman" w:cs="Times New Roman"/>
          <w:b/>
          <w:sz w:val="28"/>
          <w:lang w:eastAsia="zh-CN"/>
        </w:rPr>
      </w:pPr>
    </w:p>
    <w:p w14:paraId="0D9CC736">
      <w:pPr>
        <w:tabs>
          <w:tab w:val="left" w:pos="1272"/>
        </w:tabs>
        <w:spacing w:line="336" w:lineRule="auto"/>
        <w:ind w:left="9"/>
        <w:jc w:val="center"/>
        <w:rPr>
          <w:rFonts w:ascii="Times New Roman" w:hAnsi="Times New Roman" w:cs="Times New Roman"/>
          <w:b/>
          <w:sz w:val="28"/>
          <w:lang w:eastAsia="zh-CN"/>
        </w:rPr>
      </w:pPr>
    </w:p>
    <w:p w14:paraId="5E92E9FD">
      <w:pPr>
        <w:tabs>
          <w:tab w:val="left" w:pos="1272"/>
        </w:tabs>
        <w:spacing w:line="336" w:lineRule="auto"/>
        <w:ind w:left="9"/>
        <w:jc w:val="center"/>
        <w:rPr>
          <w:rFonts w:ascii="Times New Roman" w:hAnsi="Times New Roman" w:cs="Times New Roman"/>
          <w:b/>
          <w:sz w:val="28"/>
          <w:lang w:eastAsia="zh-CN"/>
        </w:rPr>
      </w:pPr>
    </w:p>
    <w:p w14:paraId="0F5BAB6D">
      <w:pPr>
        <w:tabs>
          <w:tab w:val="left" w:pos="1272"/>
        </w:tabs>
        <w:spacing w:line="336" w:lineRule="auto"/>
        <w:ind w:left="9"/>
        <w:jc w:val="center"/>
        <w:rPr>
          <w:rFonts w:ascii="Times New Roman" w:hAnsi="Times New Roman" w:cs="Times New Roman"/>
          <w:b/>
          <w:sz w:val="28"/>
          <w:lang w:eastAsia="zh-CN"/>
        </w:rPr>
      </w:pPr>
    </w:p>
    <w:p w14:paraId="1B2E6C29">
      <w:pPr>
        <w:tabs>
          <w:tab w:val="left" w:pos="1272"/>
        </w:tabs>
        <w:spacing w:line="336" w:lineRule="auto"/>
        <w:ind w:left="9"/>
        <w:jc w:val="center"/>
        <w:rPr>
          <w:rFonts w:ascii="Times New Roman" w:hAnsi="Times New Roman" w:cs="Times New Roman"/>
          <w:b/>
          <w:sz w:val="28"/>
          <w:lang w:eastAsia="zh-CN"/>
        </w:rPr>
      </w:pPr>
    </w:p>
    <w:p w14:paraId="791CF4C0">
      <w:pPr>
        <w:tabs>
          <w:tab w:val="left" w:pos="1272"/>
        </w:tabs>
        <w:spacing w:line="336" w:lineRule="auto"/>
        <w:ind w:left="9"/>
        <w:jc w:val="center"/>
        <w:rPr>
          <w:rFonts w:ascii="Times New Roman" w:hAnsi="Times New Roman" w:cs="Times New Roman"/>
          <w:b/>
          <w:sz w:val="28"/>
          <w:lang w:eastAsia="zh-CN"/>
        </w:rPr>
      </w:pPr>
    </w:p>
    <w:p w14:paraId="60B97600">
      <w:pPr>
        <w:tabs>
          <w:tab w:val="left" w:pos="1272"/>
        </w:tabs>
        <w:spacing w:line="336" w:lineRule="auto"/>
        <w:ind w:left="9"/>
        <w:jc w:val="center"/>
        <w:rPr>
          <w:rFonts w:ascii="Times New Roman" w:hAnsi="Times New Roman" w:cs="Times New Roman"/>
          <w:b/>
          <w:sz w:val="28"/>
          <w:lang w:eastAsia="zh-CN"/>
        </w:rPr>
      </w:pPr>
    </w:p>
    <w:p w14:paraId="6F2E6262">
      <w:pPr>
        <w:tabs>
          <w:tab w:val="left" w:pos="1272"/>
        </w:tabs>
        <w:spacing w:line="336" w:lineRule="auto"/>
        <w:ind w:left="9"/>
        <w:jc w:val="center"/>
        <w:rPr>
          <w:rFonts w:ascii="Times New Roman" w:hAnsi="Times New Roman" w:cs="Times New Roman"/>
          <w:b/>
          <w:sz w:val="28"/>
          <w:lang w:eastAsia="zh-CN"/>
        </w:rPr>
      </w:pPr>
    </w:p>
    <w:p w14:paraId="05737014">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14:paraId="4B341C51">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hint="eastAsia"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 xml:space="preserve">  福建福海创石油化工有限公司拟对PTA废水处理生化污泥 和TA废料检测</w:t>
      </w:r>
      <w:r>
        <w:rPr>
          <w:rFonts w:hint="eastAsia" w:ascii="Times New Roman" w:hAnsi="Times New Roman" w:cs="Times New Roman"/>
          <w:snapToGrid w:val="0"/>
          <w:sz w:val="24"/>
          <w:szCs w:val="24"/>
          <w:lang w:val="en-US" w:eastAsia="zh-CN"/>
        </w:rPr>
        <w:t>项目</w:t>
      </w:r>
      <w:r>
        <w:rPr>
          <w:rFonts w:ascii="Times New Roman" w:hAnsi="Times New Roman" w:cs="Times New Roman"/>
          <w:snapToGrid w:val="0"/>
          <w:sz w:val="24"/>
          <w:szCs w:val="24"/>
          <w:lang w:eastAsia="zh-CN"/>
        </w:rPr>
        <w:t>进行公开比选。为了“公开、公平、公正、透明”，引导参选人进行正确参选，特制定本规定文件。</w:t>
      </w:r>
    </w:p>
    <w:p w14:paraId="12D304F5">
      <w:pPr>
        <w:spacing w:line="336" w:lineRule="auto"/>
        <w:ind w:firstLine="360" w:firstLineChars="15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14:paraId="5938D4E8">
      <w:pPr>
        <w:tabs>
          <w:tab w:val="left" w:pos="709"/>
        </w:tabs>
        <w:spacing w:line="336" w:lineRule="auto"/>
        <w:rPr>
          <w:rFonts w:ascii="Times New Roman" w:hAnsi="Times New Roman" w:cs="Times New Roman"/>
          <w:b/>
          <w:bCs w:val="0"/>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14:paraId="2801159B">
      <w:pPr>
        <w:spacing w:line="336" w:lineRule="auto"/>
        <w:ind w:firstLine="159" w:firstLineChars="66"/>
        <w:rPr>
          <w:rFonts w:hint="eastAsia" w:ascii="Times New Roman" w:hAnsi="Times New Roman" w:cs="Times New Roman"/>
          <w:sz w:val="24"/>
          <w:szCs w:val="24"/>
          <w:lang w:eastAsia="zh-CN"/>
        </w:rPr>
      </w:pPr>
      <w:r>
        <w:rPr>
          <w:rFonts w:ascii="Times New Roman" w:hAnsi="Times New Roman" w:cs="Times New Roman"/>
          <w:b/>
          <w:bCs w:val="0"/>
          <w:sz w:val="24"/>
          <w:szCs w:val="24"/>
          <w:lang w:eastAsia="zh-CN"/>
        </w:rPr>
        <w:t xml:space="preserve">1.  项目名称：PTA废水处理生化污泥 和TA废料检测 </w:t>
      </w:r>
      <w:r>
        <w:rPr>
          <w:rFonts w:hint="eastAsia" w:ascii="Times New Roman" w:hAnsi="Times New Roman" w:cs="Times New Roman"/>
          <w:sz w:val="24"/>
          <w:szCs w:val="24"/>
          <w:lang w:eastAsia="zh-CN"/>
        </w:rPr>
        <w:t xml:space="preserve">  </w:t>
      </w:r>
    </w:p>
    <w:p w14:paraId="6953696C">
      <w:pPr>
        <w:spacing w:line="336" w:lineRule="auto"/>
        <w:ind w:left="0" w:leftChars="0" w:firstLine="219" w:firstLineChars="91"/>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val="en-US" w:eastAsia="zh-CN"/>
        </w:rPr>
        <w:t>2.工程简介</w:t>
      </w:r>
      <w:r>
        <w:rPr>
          <w:rFonts w:hint="eastAsia" w:ascii="Times New Roman" w:hAnsi="Times New Roman" w:cs="Times New Roman"/>
          <w:b/>
          <w:bCs/>
          <w:sz w:val="24"/>
          <w:szCs w:val="24"/>
          <w:lang w:eastAsia="zh-CN"/>
        </w:rPr>
        <w:t xml:space="preserve"> ：</w:t>
      </w:r>
    </w:p>
    <w:p w14:paraId="3472DC0F">
      <w:pPr>
        <w:numPr>
          <w:ilvl w:val="-1"/>
          <w:numId w:val="0"/>
        </w:numPr>
        <w:spacing w:line="336" w:lineRule="auto"/>
        <w:ind w:left="15" w:leftChars="7" w:firstLine="202" w:firstLineChars="84"/>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我司450万吨/年精对苯二甲酸项目废水处理生化污泥和TA废料于2018年委托特性检测，被鉴别为不具有危险特性，不属于危险废物。依漳州市固体废物与化学品环境管理技术中心于2018年7月主持召开的“鉴别报告”论证会。要求我司加强环境日常管理，定期开展废水处理生化污泥和TA废料中钴、锰的浸出毒性和毒性物质含量的跟踪监测。</w:t>
      </w:r>
    </w:p>
    <w:p w14:paraId="49C0EC65">
      <w:pPr>
        <w:numPr>
          <w:ilvl w:val="-1"/>
          <w:numId w:val="0"/>
        </w:numPr>
        <w:spacing w:line="336" w:lineRule="auto"/>
        <w:ind w:firstLine="241" w:firstLineChars="100"/>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3.工程技术协议详见附件四。</w:t>
      </w:r>
    </w:p>
    <w:p w14:paraId="392D59BA">
      <w:pPr>
        <w:spacing w:line="336" w:lineRule="auto"/>
        <w:ind w:left="0" w:leftChars="0" w:firstLine="219" w:firstLineChars="91"/>
        <w:rPr>
          <w:rFonts w:hint="eastAsia" w:ascii="Times New Roman" w:hAnsi="Times New Roman" w:cs="Times New Roman"/>
          <w:snapToGrid w:val="0"/>
          <w:sz w:val="24"/>
          <w:szCs w:val="24"/>
          <w:lang w:eastAsia="zh-CN"/>
        </w:rPr>
      </w:pPr>
      <w:r>
        <w:rPr>
          <w:rFonts w:hint="eastAsia" w:ascii="Times New Roman" w:hAnsi="Times New Roman" w:cs="Times New Roman"/>
          <w:b/>
          <w:bCs/>
          <w:snapToGrid w:val="0"/>
          <w:sz w:val="24"/>
          <w:szCs w:val="24"/>
          <w:lang w:val="en-US" w:eastAsia="zh-CN"/>
        </w:rPr>
        <w:t>4</w:t>
      </w:r>
      <w:r>
        <w:rPr>
          <w:rFonts w:ascii="Times New Roman" w:hAnsi="Times New Roman" w:cs="Times New Roman"/>
          <w:b/>
          <w:bCs/>
          <w:snapToGrid w:val="0"/>
          <w:sz w:val="24"/>
          <w:szCs w:val="24"/>
          <w:lang w:eastAsia="zh-CN"/>
        </w:rPr>
        <w:t>.  比选控制价：</w:t>
      </w:r>
      <w:r>
        <w:rPr>
          <w:rFonts w:ascii="Times New Roman" w:hAnsi="Times New Roman"/>
          <w:sz w:val="24"/>
          <w:szCs w:val="24"/>
          <w:lang w:eastAsia="zh-CN"/>
        </w:rPr>
        <w:t>本项目设置最高控制价</w:t>
      </w:r>
      <w:r>
        <w:rPr>
          <w:rFonts w:hint="eastAsia" w:ascii="Times New Roman" w:hAnsi="Times New Roman"/>
          <w:sz w:val="24"/>
          <w:szCs w:val="24"/>
          <w:lang w:eastAsia="zh-CN"/>
        </w:rPr>
        <w:t>人民币</w:t>
      </w:r>
      <w:r>
        <w:rPr>
          <w:rFonts w:hint="eastAsia" w:ascii="Times New Roman" w:hAnsi="Times New Roman"/>
          <w:sz w:val="24"/>
          <w:szCs w:val="24"/>
          <w:lang w:val="en-US" w:eastAsia="zh-CN"/>
        </w:rPr>
        <w:t>7.9</w:t>
      </w:r>
      <w:r>
        <w:rPr>
          <w:rFonts w:hint="eastAsia" w:ascii="Times New Roman" w:hAnsi="Times New Roman"/>
          <w:sz w:val="24"/>
          <w:szCs w:val="24"/>
          <w:lang w:eastAsia="zh-CN"/>
        </w:rPr>
        <w:t>万</w:t>
      </w:r>
      <w:r>
        <w:rPr>
          <w:rFonts w:ascii="Times New Roman" w:hAnsi="Times New Roman"/>
          <w:sz w:val="24"/>
          <w:szCs w:val="24"/>
          <w:lang w:eastAsia="zh-CN"/>
        </w:rPr>
        <w:t>元（</w:t>
      </w:r>
      <w:r>
        <w:rPr>
          <w:rFonts w:hint="eastAsia" w:ascii="Times New Roman" w:hAnsi="Times New Roman"/>
          <w:sz w:val="24"/>
          <w:szCs w:val="24"/>
          <w:lang w:val="en-US" w:eastAsia="zh-CN"/>
        </w:rPr>
        <w:t>不</w:t>
      </w:r>
      <w:r>
        <w:rPr>
          <w:rFonts w:ascii="Times New Roman" w:hAnsi="Times New Roman"/>
          <w:sz w:val="24"/>
          <w:szCs w:val="24"/>
          <w:lang w:eastAsia="zh-CN"/>
        </w:rPr>
        <w:t>含税）</w:t>
      </w:r>
      <w:r>
        <w:rPr>
          <w:rFonts w:hint="eastAsia" w:ascii="Times New Roman" w:hAnsi="Times New Roman" w:cs="Times New Roman"/>
          <w:snapToGrid w:val="0"/>
          <w:sz w:val="24"/>
          <w:szCs w:val="24"/>
          <w:lang w:eastAsia="zh-CN"/>
        </w:rPr>
        <w:t>。</w:t>
      </w:r>
    </w:p>
    <w:p w14:paraId="39C78093">
      <w:pPr>
        <w:spacing w:line="336" w:lineRule="auto"/>
        <w:ind w:left="0" w:leftChars="0" w:firstLine="218" w:firstLineChars="91"/>
        <w:rPr>
          <w:rFonts w:hint="default" w:ascii="Times New Roman" w:hAnsi="Times New Roman" w:cs="Times New Roman"/>
          <w:snapToGrid w:val="0"/>
          <w:sz w:val="24"/>
          <w:szCs w:val="24"/>
          <w:lang w:val="en-US" w:eastAsia="zh-CN"/>
        </w:rPr>
      </w:pPr>
      <w:r>
        <w:rPr>
          <w:rFonts w:hint="eastAsia" w:ascii="Times New Roman" w:hAnsi="Times New Roman" w:cs="Times New Roman"/>
          <w:snapToGrid w:val="0"/>
          <w:sz w:val="24"/>
          <w:szCs w:val="24"/>
          <w:lang w:val="en-US" w:eastAsia="zh-CN"/>
        </w:rPr>
        <w:t>5.  比选价格方式：总价包干。</w:t>
      </w:r>
    </w:p>
    <w:p w14:paraId="0356AB98">
      <w:pPr>
        <w:ind w:left="0" w:leftChars="0" w:firstLine="219" w:firstLineChars="91"/>
        <w:rPr>
          <w:rFonts w:hint="eastAsia" w:ascii="Times New Roman" w:hAnsi="Times New Roman" w:cs="Times New Roman"/>
          <w:b/>
          <w:bCs/>
          <w:snapToGrid w:val="0"/>
          <w:sz w:val="24"/>
          <w:szCs w:val="24"/>
          <w:lang w:val="en-US" w:eastAsia="zh-CN"/>
        </w:rPr>
      </w:pPr>
    </w:p>
    <w:p w14:paraId="280B27EC">
      <w:pPr>
        <w:pStyle w:val="19"/>
        <w:spacing w:line="336"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14:paraId="02F5784F">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14:paraId="240F9569">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14:paraId="6708D7B3">
      <w:pPr>
        <w:pStyle w:val="77"/>
        <w:spacing w:line="336" w:lineRule="auto"/>
        <w:ind w:firstLine="139" w:firstLineChars="58"/>
        <w:rPr>
          <w:rFonts w:hint="eastAsia" w:ascii="Times New Roman" w:cs="Times New Roman"/>
          <w:color w:val="auto"/>
        </w:rPr>
      </w:pPr>
      <w:r>
        <w:rPr>
          <w:rFonts w:hint="eastAsia" w:ascii="Times New Roman" w:cs="Times New Roman"/>
          <w:color w:val="auto"/>
          <w:lang w:val="en-US" w:eastAsia="zh-CN"/>
        </w:rPr>
        <w:t>3.</w:t>
      </w:r>
      <w:r>
        <w:rPr>
          <w:rFonts w:hint="eastAsia" w:ascii="Times New Roman" w:cs="Times New Roman"/>
          <w:color w:val="auto"/>
        </w:rPr>
        <w:t>正式注册的合法组织、机构或公司，与比选人无诉讼纠纷，没有失信黑名单记录（以最高院失信被执行人系统发布信息为准）；</w:t>
      </w:r>
    </w:p>
    <w:p w14:paraId="0C640E76">
      <w:pPr>
        <w:pStyle w:val="77"/>
        <w:spacing w:line="336" w:lineRule="auto"/>
        <w:ind w:firstLine="139" w:firstLineChars="58"/>
        <w:rPr>
          <w:rFonts w:hint="default" w:ascii="Times New Roman" w:eastAsia="宋体" w:cs="Times New Roman"/>
          <w:color w:val="auto"/>
          <w:lang w:val="en-US" w:eastAsia="zh-CN"/>
        </w:rPr>
      </w:pPr>
      <w:r>
        <w:rPr>
          <w:rFonts w:hint="eastAsia" w:ascii="Times New Roman" w:cs="Times New Roman"/>
          <w:color w:val="auto"/>
          <w:lang w:val="en-US" w:eastAsia="zh-CN"/>
        </w:rPr>
        <w:t>4.监测单位资质要求：持有效的省级（含）以上质量技术监督部门颁发的计量认证证书和取得CMA计量认证资质，并提供包括技术协议所需检测项目方法证明文件的CMA证书附表。</w:t>
      </w:r>
    </w:p>
    <w:p w14:paraId="451A2015">
      <w:pPr>
        <w:spacing w:line="336" w:lineRule="auto"/>
        <w:ind w:left="411" w:leftChars="62" w:hanging="275" w:hangingChars="125"/>
        <w:rPr>
          <w:rFonts w:hint="eastAsia" w:ascii="Times New Roman" w:hAnsi="Times New Roman" w:cs="Times New Roman"/>
          <w:sz w:val="24"/>
          <w:szCs w:val="24"/>
          <w:lang w:eastAsia="zh-CN"/>
        </w:rPr>
      </w:pPr>
      <w:r>
        <w:rPr>
          <w:rFonts w:hint="eastAsia" w:ascii="Times New Roman" w:cs="Times New Roman"/>
          <w:color w:val="auto"/>
          <w:lang w:val="en-US" w:eastAsia="zh-CN"/>
        </w:rPr>
        <w:t>5</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14:paraId="6314DD9C">
      <w:pPr>
        <w:pStyle w:val="40"/>
        <w:spacing w:before="0" w:beforeAutospacing="0" w:after="0" w:afterAutospacing="0" w:line="336" w:lineRule="auto"/>
        <w:ind w:left="80" w:hanging="80" w:hangingChars="33"/>
        <w:textAlignment w:val="baseline"/>
        <w:rPr>
          <w:rFonts w:ascii="Times New Roman" w:hAnsi="Times New Roman" w:cs="Times New Roman"/>
          <w:b/>
          <w:iCs/>
        </w:rPr>
      </w:pPr>
      <w:r>
        <w:rPr>
          <w:rFonts w:ascii="Times New Roman" w:hAnsi="Times New Roman" w:cs="Times New Roman"/>
          <w:b/>
          <w:iCs/>
        </w:rPr>
        <w:t>三、获取比选文件：</w:t>
      </w:r>
    </w:p>
    <w:p w14:paraId="7F5BA9CA">
      <w:pPr>
        <w:pStyle w:val="40"/>
        <w:spacing w:before="0" w:beforeAutospacing="0" w:after="0" w:afterAutospacing="0" w:line="336" w:lineRule="auto"/>
        <w:ind w:left="330" w:leftChars="150" w:firstLine="480" w:firstLineChars="200"/>
        <w:textAlignment w:val="baseline"/>
        <w:rPr>
          <w:rFonts w:ascii="Times New Roman" w:hAnsi="Times New Roman" w:cs="Times New Roman"/>
          <w:iCs/>
        </w:rPr>
      </w:pPr>
      <w:r>
        <w:rPr>
          <w:rFonts w:ascii="Times New Roman" w:hAnsi="Times New Roman" w:cs="Times New Roman"/>
          <w:iCs/>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lang w:val="en-US" w:eastAsia="zh-CN"/>
        </w:rPr>
        <w:t>4</w:t>
      </w:r>
      <w:r>
        <w:rPr>
          <w:rFonts w:ascii="Times New Roman" w:hAnsi="Times New Roman" w:cs="Times New Roman"/>
          <w:iCs/>
        </w:rPr>
        <w:t>年</w:t>
      </w:r>
      <w:r>
        <w:rPr>
          <w:rFonts w:hint="eastAsia" w:ascii="Times New Roman" w:hAnsi="Times New Roman" w:cs="Times New Roman"/>
          <w:iCs/>
          <w:lang w:val="en-US" w:eastAsia="zh-CN"/>
        </w:rPr>
        <w:t>10</w:t>
      </w:r>
      <w:r>
        <w:rPr>
          <w:rFonts w:ascii="Times New Roman" w:hAnsi="Times New Roman" w:cs="Times New Roman"/>
          <w:iCs/>
        </w:rPr>
        <w:t>月</w:t>
      </w:r>
      <w:r>
        <w:rPr>
          <w:rFonts w:hint="default" w:ascii="Times New Roman" w:hAnsi="Times New Roman" w:cs="Times New Roman"/>
          <w:iCs/>
          <w:lang w:val="en-US" w:eastAsia="zh-CN"/>
        </w:rPr>
        <w:t>31</w:t>
      </w:r>
      <w:r>
        <w:rPr>
          <w:rFonts w:ascii="Times New Roman" w:hAnsi="Times New Roman" w:cs="Times New Roman"/>
          <w:iCs/>
        </w:rPr>
        <w:t>日</w:t>
      </w:r>
      <w:r>
        <w:rPr>
          <w:rFonts w:hint="eastAsia" w:ascii="Times New Roman" w:hAnsi="Times New Roman" w:cs="Times New Roman"/>
          <w:iCs/>
          <w:lang w:val="en-US" w:eastAsia="zh-CN"/>
        </w:rPr>
        <w:t>-2024年11月</w:t>
      </w:r>
      <w:r>
        <w:rPr>
          <w:rFonts w:hint="default" w:ascii="Times New Roman" w:hAnsi="Times New Roman" w:cs="Times New Roman"/>
          <w:iCs/>
          <w:lang w:val="en-US" w:eastAsia="zh-CN"/>
        </w:rPr>
        <w:t>10</w:t>
      </w:r>
      <w:bookmarkStart w:id="2" w:name="_GoBack"/>
      <w:bookmarkEnd w:id="2"/>
      <w:r>
        <w:rPr>
          <w:rFonts w:hint="eastAsia" w:ascii="Times New Roman" w:hAnsi="Times New Roman" w:cs="Times New Roman"/>
          <w:iCs/>
          <w:lang w:val="en-US" w:eastAsia="zh-CN"/>
        </w:rPr>
        <w:t>日</w:t>
      </w:r>
      <w:r>
        <w:rPr>
          <w:rFonts w:ascii="Times New Roman" w:hAnsi="Times New Roman" w:cs="Times New Roman"/>
          <w:iCs/>
        </w:rPr>
        <w:t>（共</w:t>
      </w:r>
      <w:r>
        <w:rPr>
          <w:rFonts w:hint="eastAsia" w:ascii="Times New Roman" w:hAnsi="Times New Roman" w:cs="Times New Roman"/>
          <w:iCs/>
          <w:lang w:val="en-US" w:eastAsia="zh-CN"/>
        </w:rPr>
        <w:t>10</w:t>
      </w:r>
      <w:r>
        <w:rPr>
          <w:rFonts w:ascii="Times New Roman" w:hAnsi="Times New Roman" w:cs="Times New Roman"/>
          <w:iCs/>
        </w:rPr>
        <w:t>天）将参选文件纸质原件密封送达比选人指定地点。</w:t>
      </w:r>
    </w:p>
    <w:p w14:paraId="40B77E9D">
      <w:pPr>
        <w:pStyle w:val="40"/>
        <w:spacing w:before="0" w:beforeAutospacing="0" w:after="0" w:afterAutospacing="0" w:line="336" w:lineRule="auto"/>
        <w:ind w:firstLine="140" w:firstLineChars="58"/>
        <w:textAlignment w:val="baseline"/>
        <w:rPr>
          <w:rFonts w:ascii="Times New Roman" w:hAnsi="Times New Roman" w:cs="Times New Roman"/>
          <w:b/>
          <w:iCs/>
        </w:rPr>
      </w:pPr>
      <w:r>
        <w:rPr>
          <w:rFonts w:ascii="Times New Roman" w:hAnsi="Times New Roman" w:cs="Times New Roman"/>
          <w:b/>
          <w:iCs/>
        </w:rPr>
        <w:t>四、参选文件递交要求时间、地点：</w:t>
      </w:r>
    </w:p>
    <w:p w14:paraId="2188E725">
      <w:pPr>
        <w:pStyle w:val="40"/>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1.  参选文件递交地点：福建省漳州市漳浦县杜浔镇杜昌路9号福建福海创石油化工有限公司办公楼三楼设备及服务团队，联系人：</w:t>
      </w:r>
      <w:r>
        <w:rPr>
          <w:rFonts w:hint="eastAsia" w:ascii="Times New Roman" w:hAnsi="Times New Roman" w:cs="Times New Roman"/>
          <w:iCs/>
        </w:rPr>
        <w:t>何震洋</w:t>
      </w:r>
      <w:r>
        <w:rPr>
          <w:rFonts w:ascii="Times New Roman" w:hAnsi="Times New Roman" w:cs="Times New Roman"/>
          <w:iCs/>
        </w:rPr>
        <w:t> </w:t>
      </w:r>
      <w:r>
        <w:rPr>
          <w:rFonts w:hint="eastAsia" w:ascii="Times New Roman" w:hAnsi="Times New Roman" w:cs="Times New Roman"/>
          <w:iCs/>
        </w:rPr>
        <w:t xml:space="preserve">   </w:t>
      </w:r>
      <w:r>
        <w:rPr>
          <w:rFonts w:ascii="Times New Roman" w:hAnsi="Times New Roman" w:cs="Times New Roman"/>
          <w:iCs/>
        </w:rPr>
        <w:t>联系电话：</w:t>
      </w:r>
      <w:r>
        <w:rPr>
          <w:rFonts w:hint="eastAsia" w:ascii="Times New Roman" w:hAnsi="Times New Roman" w:cs="Times New Roman"/>
          <w:iCs/>
        </w:rPr>
        <w:t>15259232765</w:t>
      </w:r>
      <w:r>
        <w:rPr>
          <w:rFonts w:ascii="Times New Roman" w:hAnsi="Times New Roman" w:cs="Times New Roman"/>
          <w:iCs/>
        </w:rPr>
        <w:t>。</w:t>
      </w:r>
    </w:p>
    <w:p w14:paraId="1CE94860">
      <w:pPr>
        <w:pStyle w:val="40"/>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11</w:t>
      </w:r>
      <w:r>
        <w:rPr>
          <w:rFonts w:ascii="Times New Roman" w:hAnsi="Times New Roman" w:cs="Times New Roman"/>
        </w:rPr>
        <w:t>月</w:t>
      </w:r>
      <w:r>
        <w:rPr>
          <w:rFonts w:hint="default" w:ascii="Times New Roman" w:hAnsi="Times New Roman" w:cs="Times New Roman"/>
          <w:lang w:val="en-US" w:eastAsia="zh-CN"/>
        </w:rPr>
        <w:t>12</w:t>
      </w:r>
      <w:r>
        <w:rPr>
          <w:rFonts w:ascii="Times New Roman" w:hAnsi="Times New Roman" w:cs="Times New Roman"/>
        </w:rPr>
        <w:t>日17时30分。</w:t>
      </w:r>
    </w:p>
    <w:p w14:paraId="6ED5EF29">
      <w:pPr>
        <w:pStyle w:val="58"/>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14:paraId="0F63CF9B">
      <w:pPr>
        <w:pStyle w:val="9"/>
        <w:snapToGrid w:val="0"/>
        <w:spacing w:line="336" w:lineRule="auto"/>
        <w:ind w:firstLineChars="175"/>
        <w:rPr>
          <w:b/>
          <w:bCs/>
          <w:color w:val="FF0000"/>
          <w:szCs w:val="24"/>
          <w:u w:val="single"/>
        </w:rPr>
      </w:pPr>
      <w:r>
        <w:rPr>
          <w:bCs/>
          <w:szCs w:val="24"/>
        </w:rPr>
        <w:t>商务联系人：</w:t>
      </w:r>
      <w:r>
        <w:rPr>
          <w:rFonts w:hint="eastAsia"/>
          <w:bCs/>
          <w:szCs w:val="24"/>
        </w:rPr>
        <w:t>何震洋</w:t>
      </w:r>
      <w:r>
        <w:rPr>
          <w:bCs/>
          <w:szCs w:val="24"/>
        </w:rPr>
        <w:t xml:space="preserve">  电话：</w:t>
      </w:r>
      <w:r>
        <w:rPr>
          <w:rFonts w:hint="eastAsia"/>
          <w:bCs/>
          <w:szCs w:val="24"/>
        </w:rPr>
        <w:t>15259232765</w:t>
      </w:r>
      <w:r>
        <w:rPr>
          <w:bCs/>
          <w:color w:val="FF0000"/>
          <w:szCs w:val="24"/>
        </w:rPr>
        <w:t xml:space="preserve"> </w:t>
      </w:r>
      <w:r>
        <w:rPr>
          <w:bCs/>
          <w:szCs w:val="24"/>
        </w:rPr>
        <w:t>邮箱：</w:t>
      </w:r>
      <w:r>
        <w:rPr>
          <w:rFonts w:hint="eastAsia"/>
          <w:bCs/>
          <w:color w:val="FF0000"/>
          <w:szCs w:val="24"/>
          <w:u w:val="single"/>
        </w:rPr>
        <w:t>zyhe</w:t>
      </w:r>
      <w:r>
        <w:rPr>
          <w:bCs/>
          <w:color w:val="FF0000"/>
          <w:szCs w:val="24"/>
          <w:u w:val="single"/>
        </w:rPr>
        <w:t>@</w:t>
      </w:r>
      <w:r>
        <w:rPr>
          <w:rFonts w:hint="eastAsia"/>
          <w:bCs/>
          <w:color w:val="FF0000"/>
          <w:szCs w:val="24"/>
          <w:u w:val="single"/>
          <w:lang w:val="en-US" w:eastAsia="zh-CN"/>
        </w:rPr>
        <w:t>fhc</w:t>
      </w:r>
      <w:r>
        <w:rPr>
          <w:bCs/>
          <w:color w:val="FF0000"/>
          <w:szCs w:val="24"/>
          <w:u w:val="single"/>
        </w:rPr>
        <w:t>pec.com.cn</w:t>
      </w:r>
    </w:p>
    <w:p w14:paraId="6363965A">
      <w:pPr>
        <w:pStyle w:val="9"/>
        <w:snapToGrid w:val="0"/>
        <w:spacing w:line="336" w:lineRule="auto"/>
        <w:ind w:firstLineChars="175"/>
        <w:rPr>
          <w:bCs/>
          <w:szCs w:val="24"/>
        </w:rPr>
      </w:pPr>
      <w:r>
        <w:rPr>
          <w:bCs/>
          <w:szCs w:val="24"/>
        </w:rPr>
        <w:t>纪检监察室电话：0596-6311774</w:t>
      </w:r>
    </w:p>
    <w:p w14:paraId="75200010">
      <w:pPr>
        <w:pStyle w:val="9"/>
        <w:snapToGrid w:val="0"/>
        <w:spacing w:line="336" w:lineRule="auto"/>
        <w:ind w:firstLineChars="175"/>
        <w:rPr>
          <w:b/>
          <w:bCs/>
          <w:szCs w:val="24"/>
        </w:rPr>
      </w:pPr>
      <w:r>
        <w:rPr>
          <w:bCs/>
          <w:szCs w:val="24"/>
        </w:rPr>
        <w:t>联系地址：漳州市漳浦县杜浔镇杜昌路9号</w:t>
      </w:r>
      <w:r>
        <w:rPr>
          <w:b/>
          <w:bCs/>
          <w:szCs w:val="24"/>
        </w:rPr>
        <w:t xml:space="preserve">   </w:t>
      </w:r>
      <w:r>
        <w:rPr>
          <w:bCs/>
          <w:szCs w:val="24"/>
        </w:rPr>
        <w:t>邮    编：363216</w:t>
      </w:r>
    </w:p>
    <w:p w14:paraId="3011FD82">
      <w:pPr>
        <w:pStyle w:val="2"/>
        <w:tabs>
          <w:tab w:val="left" w:pos="1262"/>
        </w:tabs>
        <w:spacing w:line="360" w:lineRule="auto"/>
        <w:ind w:left="0" w:right="108"/>
        <w:jc w:val="center"/>
        <w:rPr>
          <w:rFonts w:ascii="Times New Roman" w:hAnsi="Times New Roman" w:cs="Times New Roman"/>
          <w:sz w:val="24"/>
          <w:szCs w:val="24"/>
          <w:lang w:eastAsia="zh-CN"/>
        </w:rPr>
        <w:sectPr>
          <w:footerReference r:id="rId3" w:type="default"/>
          <w:pgSz w:w="11910" w:h="16840"/>
          <w:pgMar w:top="1060" w:right="710" w:bottom="740" w:left="1080" w:header="0" w:footer="551" w:gutter="0"/>
          <w:cols w:space="720" w:num="1"/>
        </w:sectPr>
      </w:pPr>
    </w:p>
    <w:p w14:paraId="3356DF7E">
      <w:pPr>
        <w:pStyle w:val="2"/>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14:paraId="6DD4DBBA">
      <w:pPr>
        <w:spacing w:beforeLines="50" w:afterLines="50"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14:paraId="4EC11DB7">
      <w:pPr>
        <w:spacing w:line="420" w:lineRule="exact"/>
        <w:ind w:left="279" w:hanging="279" w:hangingChars="116"/>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 xml:space="preserve">1. </w:t>
      </w:r>
      <w:r>
        <w:rPr>
          <w:rFonts w:ascii="Times New Roman" w:hAnsi="Times New Roman" w:cs="Times New Roman"/>
          <w:b/>
          <w:bCs/>
          <w:sz w:val="24"/>
          <w:szCs w:val="24"/>
          <w:lang w:eastAsia="zh-CN"/>
        </w:rPr>
        <w:t>项目名称：PTA废水处理生化污泥 和TA废料检测</w:t>
      </w:r>
      <w:r>
        <w:rPr>
          <w:rFonts w:hint="eastAsia" w:ascii="Times New Roman" w:hAnsi="Times New Roman" w:cs="Times New Roman"/>
          <w:b/>
          <w:bCs/>
          <w:sz w:val="24"/>
          <w:szCs w:val="24"/>
          <w:lang w:val="en-US" w:eastAsia="zh-CN"/>
        </w:rPr>
        <w:t>项目</w:t>
      </w:r>
      <w:r>
        <w:rPr>
          <w:rFonts w:hint="eastAsia" w:ascii="Times New Roman" w:hAnsi="Times New Roman" w:cs="Times New Roman"/>
          <w:sz w:val="24"/>
          <w:szCs w:val="24"/>
          <w:lang w:eastAsia="zh-CN"/>
        </w:rPr>
        <w:t xml:space="preserve">。 </w:t>
      </w:r>
    </w:p>
    <w:p w14:paraId="10BA217E">
      <w:pPr>
        <w:pStyle w:val="19"/>
        <w:spacing w:beforeLines="50" w:afterLines="50" w:line="360" w:lineRule="auto"/>
        <w:ind w:left="279" w:right="121" w:hanging="279" w:hangingChars="116"/>
        <w:jc w:val="both"/>
        <w:rPr>
          <w:rFonts w:asciiTheme="minorEastAsia" w:hAnsiTheme="minorEastAsia" w:eastAsiaTheme="minorEastAsia"/>
          <w:lang w:eastAsia="zh-CN"/>
        </w:rPr>
      </w:pPr>
      <w:r>
        <w:rPr>
          <w:rFonts w:hint="eastAsia" w:ascii="Times New Roman" w:hAnsi="Times New Roman" w:cs="Times New Roman"/>
          <w:b/>
          <w:bCs/>
          <w:lang w:eastAsia="zh-CN"/>
        </w:rPr>
        <w:t xml:space="preserve">2. </w:t>
      </w:r>
      <w:r>
        <w:rPr>
          <w:rFonts w:ascii="Times New Roman" w:hAnsi="Times New Roman" w:cs="Times New Roman"/>
          <w:b/>
          <w:bCs/>
          <w:lang w:eastAsia="zh-CN"/>
        </w:rPr>
        <w:t>项目地点：</w:t>
      </w:r>
      <w:r>
        <w:rPr>
          <w:rFonts w:ascii="Times New Roman" w:hAnsi="Times New Roman" w:cs="Times New Roman"/>
          <w:lang w:eastAsia="zh-CN"/>
        </w:rPr>
        <w:t>厦门港古雷港区古雷作业区。</w:t>
      </w:r>
    </w:p>
    <w:p w14:paraId="5F928155">
      <w:pPr>
        <w:spacing w:line="336" w:lineRule="auto"/>
        <w:ind w:left="0" w:leftChars="0"/>
        <w:rPr>
          <w:rFonts w:ascii="Times New Roman" w:hAnsi="Times New Roman"/>
          <w:b/>
          <w:bCs/>
          <w:sz w:val="24"/>
          <w:szCs w:val="24"/>
          <w:lang w:eastAsia="zh-CN"/>
        </w:rPr>
      </w:pPr>
      <w:r>
        <w:rPr>
          <w:rFonts w:hint="eastAsia" w:ascii="Times New Roman" w:hAnsi="Times New Roman" w:cs="Times New Roman"/>
          <w:b/>
          <w:bCs/>
          <w:snapToGrid w:val="0"/>
          <w:sz w:val="24"/>
          <w:szCs w:val="24"/>
          <w:lang w:eastAsia="zh-CN"/>
        </w:rPr>
        <w:t>3</w:t>
      </w:r>
      <w:r>
        <w:rPr>
          <w:rFonts w:ascii="Times New Roman" w:hAnsi="Times New Roman" w:cs="Times New Roman"/>
          <w:b/>
          <w:bCs/>
          <w:snapToGrid w:val="0"/>
          <w:sz w:val="24"/>
          <w:szCs w:val="24"/>
          <w:lang w:eastAsia="zh-CN"/>
        </w:rPr>
        <w:t xml:space="preserve">. </w:t>
      </w:r>
      <w:r>
        <w:rPr>
          <w:rFonts w:hint="eastAsia" w:ascii="Times New Roman" w:hAnsi="Times New Roman" w:cs="Times New Roman"/>
          <w:b/>
          <w:bCs/>
          <w:snapToGrid w:val="0"/>
          <w:sz w:val="24"/>
          <w:szCs w:val="24"/>
          <w:lang w:val="en-US" w:eastAsia="zh-CN"/>
        </w:rPr>
        <w:t>采样</w:t>
      </w:r>
      <w:r>
        <w:rPr>
          <w:rFonts w:ascii="Times New Roman" w:hAnsi="Times New Roman"/>
          <w:b/>
          <w:bCs/>
          <w:sz w:val="24"/>
          <w:szCs w:val="24"/>
          <w:lang w:eastAsia="zh-CN"/>
        </w:rPr>
        <w:t>要求：</w:t>
      </w:r>
    </w:p>
    <w:p w14:paraId="7B8993E9">
      <w:pPr>
        <w:pStyle w:val="19"/>
        <w:spacing w:beforeLines="50" w:afterLines="50" w:line="360" w:lineRule="auto"/>
        <w:ind w:left="278" w:right="121" w:hanging="278" w:hangingChars="116"/>
        <w:jc w:val="both"/>
        <w:rPr>
          <w:rFonts w:hint="eastAsia" w:ascii="Times New Roman" w:hAnsi="Times New Roman" w:cs="Times New Roman"/>
          <w:lang w:val="zh-CN" w:eastAsia="zh-CN"/>
        </w:rPr>
      </w:pPr>
      <w:r>
        <w:rPr>
          <w:rFonts w:hint="eastAsia" w:ascii="Times New Roman" w:hAnsi="Times New Roman" w:cs="Times New Roman"/>
          <w:lang w:val="zh-CN" w:eastAsia="zh-CN"/>
        </w:rPr>
        <w:t>采集：按《工业固体废物采样制样技术规范（HJT 20-1998）》和《危险废物鉴别技术规范》（HJ/T298-2019）进行采集样品。</w:t>
      </w:r>
    </w:p>
    <w:p w14:paraId="5DF638B6">
      <w:pPr>
        <w:pStyle w:val="19"/>
        <w:spacing w:beforeLines="50" w:afterLines="50" w:line="360" w:lineRule="auto"/>
        <w:ind w:left="278" w:right="121" w:hanging="278" w:hangingChars="116"/>
        <w:jc w:val="both"/>
        <w:rPr>
          <w:rFonts w:hint="eastAsia" w:ascii="Times New Roman" w:hAnsi="Times New Roman" w:cs="Times New Roman"/>
          <w:lang w:val="zh-CN" w:eastAsia="zh-CN"/>
        </w:rPr>
      </w:pPr>
      <w:r>
        <w:rPr>
          <w:rFonts w:hint="eastAsia" w:ascii="Times New Roman" w:hAnsi="Times New Roman" w:cs="Times New Roman"/>
          <w:lang w:val="zh-CN" w:eastAsia="zh-CN"/>
        </w:rPr>
        <w:t>样品保存容器：双标签采样袋及经过处理并且不含金属的玻璃采样瓶；</w:t>
      </w:r>
    </w:p>
    <w:p w14:paraId="058A229C">
      <w:pPr>
        <w:pStyle w:val="19"/>
        <w:spacing w:beforeLines="50" w:afterLines="50" w:line="360" w:lineRule="auto"/>
        <w:ind w:left="278" w:right="121" w:hanging="278" w:hangingChars="116"/>
        <w:jc w:val="both"/>
        <w:rPr>
          <w:rFonts w:hint="eastAsia" w:ascii="Times New Roman" w:hAnsi="Times New Roman" w:cs="Times New Roman"/>
          <w:lang w:val="zh-CN" w:eastAsia="zh-CN"/>
        </w:rPr>
      </w:pPr>
      <w:r>
        <w:rPr>
          <w:rFonts w:hint="eastAsia" w:ascii="Times New Roman" w:hAnsi="Times New Roman" w:cs="Times New Roman"/>
          <w:lang w:val="zh-CN" w:eastAsia="zh-CN"/>
        </w:rPr>
        <w:t>采样工具：木铲或竹铲；</w:t>
      </w:r>
    </w:p>
    <w:p w14:paraId="3B072746">
      <w:pPr>
        <w:pStyle w:val="19"/>
        <w:spacing w:beforeLines="50" w:afterLines="50" w:line="360" w:lineRule="auto"/>
        <w:ind w:left="278" w:right="121" w:hanging="278" w:hangingChars="116"/>
        <w:jc w:val="both"/>
        <w:rPr>
          <w:rFonts w:hint="eastAsia" w:ascii="Times New Roman" w:hAnsi="Times New Roman" w:cs="Times New Roman"/>
          <w:lang w:val="zh-CN" w:eastAsia="zh-CN"/>
        </w:rPr>
      </w:pPr>
      <w:r>
        <w:rPr>
          <w:rFonts w:hint="eastAsia" w:ascii="Times New Roman" w:hAnsi="Times New Roman" w:cs="Times New Roman"/>
          <w:lang w:val="zh-CN" w:eastAsia="zh-CN"/>
        </w:rPr>
        <w:t>运输：样品放在保温箱中寄送，以保证在低温密闭的环境下运输；</w:t>
      </w:r>
    </w:p>
    <w:p w14:paraId="604B58CC">
      <w:pPr>
        <w:pStyle w:val="19"/>
        <w:spacing w:beforeLines="50" w:afterLines="50" w:line="360" w:lineRule="auto"/>
        <w:ind w:left="278" w:right="121" w:hanging="278" w:hangingChars="116"/>
        <w:jc w:val="both"/>
        <w:rPr>
          <w:rFonts w:hint="eastAsia" w:ascii="Times New Roman" w:hAnsi="Times New Roman" w:cs="Times New Roman"/>
          <w:lang w:eastAsia="zh-CN"/>
        </w:rPr>
      </w:pPr>
      <w:r>
        <w:rPr>
          <w:rFonts w:hint="eastAsia" w:ascii="Times New Roman" w:hAnsi="Times New Roman" w:cs="Times New Roman"/>
          <w:lang w:val="zh-CN" w:eastAsia="zh-CN"/>
        </w:rPr>
        <w:t>样品分析：按《危险废物鉴别标准-浸出毒性鉴别》（GB5085.3-2007）进行</w:t>
      </w:r>
      <w:r>
        <w:rPr>
          <w:rFonts w:hint="eastAsia" w:ascii="Times New Roman" w:hAnsi="Times New Roman" w:cs="Times New Roman"/>
          <w:lang w:eastAsia="zh-CN"/>
        </w:rPr>
        <w:t>。</w:t>
      </w:r>
    </w:p>
    <w:p w14:paraId="09C8284E">
      <w:pPr>
        <w:pStyle w:val="19"/>
        <w:spacing w:beforeLines="50" w:afterLines="50" w:line="360" w:lineRule="auto"/>
        <w:ind w:left="278" w:right="121" w:hanging="278" w:hangingChars="116"/>
        <w:jc w:val="both"/>
        <w:rPr>
          <w:rFonts w:ascii="Times New Roman" w:hAnsi="Times New Roman" w:cs="Times New Roman"/>
          <w:lang w:eastAsia="zh-CN"/>
        </w:rPr>
      </w:pPr>
      <w:r>
        <w:rPr>
          <w:rFonts w:hint="eastAsia" w:ascii="Times New Roman" w:hAnsi="Times New Roman" w:cs="Times New Roman"/>
          <w:lang w:eastAsia="zh-CN"/>
        </w:rPr>
        <w:t xml:space="preserve">6. </w:t>
      </w:r>
      <w:r>
        <w:rPr>
          <w:rFonts w:ascii="Times New Roman" w:hAnsi="Times New Roman" w:cs="Times New Roman"/>
          <w:lang w:eastAsia="zh-CN"/>
        </w:rPr>
        <w:t>项目工作范围</w:t>
      </w:r>
      <w:r>
        <w:rPr>
          <w:rFonts w:hint="eastAsia" w:ascii="Times New Roman" w:hAnsi="Times New Roman" w:cs="Times New Roman"/>
          <w:lang w:eastAsia="zh-CN"/>
        </w:rPr>
        <w:t>、</w:t>
      </w:r>
      <w:r>
        <w:rPr>
          <w:rFonts w:ascii="Times New Roman" w:hAnsi="Times New Roman" w:cs="Times New Roman"/>
          <w:lang w:eastAsia="zh-CN"/>
        </w:rPr>
        <w:t>技术要求</w:t>
      </w:r>
      <w:r>
        <w:rPr>
          <w:rFonts w:hint="eastAsia" w:ascii="Times New Roman" w:hAnsi="Times New Roman" w:cs="Times New Roman"/>
          <w:lang w:val="en-US" w:eastAsia="zh-CN"/>
        </w:rPr>
        <w:t>及环境要项</w:t>
      </w:r>
      <w:r>
        <w:rPr>
          <w:rFonts w:ascii="Times New Roman" w:hAnsi="Times New Roman" w:cs="Times New Roman"/>
          <w:lang w:eastAsia="zh-CN"/>
        </w:rPr>
        <w:t>：</w:t>
      </w:r>
      <w:r>
        <w:rPr>
          <w:rFonts w:hint="eastAsia" w:ascii="Times New Roman" w:hAnsi="Times New Roman" w:cs="Times New Roman"/>
          <w:lang w:eastAsia="zh-CN"/>
        </w:rPr>
        <w:t>详</w:t>
      </w:r>
      <w:r>
        <w:rPr>
          <w:rFonts w:ascii="Times New Roman" w:hAnsi="Times New Roman" w:cs="Times New Roman"/>
          <w:lang w:eastAsia="zh-CN"/>
        </w:rPr>
        <w:t>见附件</w:t>
      </w:r>
      <w:r>
        <w:rPr>
          <w:rFonts w:hint="eastAsia" w:ascii="Times New Roman" w:hAnsi="Times New Roman" w:cs="Times New Roman"/>
          <w:lang w:val="en-US" w:eastAsia="zh-CN"/>
        </w:rPr>
        <w:t>四。</w:t>
      </w:r>
    </w:p>
    <w:p w14:paraId="4ABFDFBD">
      <w:pPr>
        <w:pStyle w:val="19"/>
        <w:spacing w:beforeLines="50" w:afterLines="50" w:line="360" w:lineRule="auto"/>
        <w:ind w:right="121"/>
        <w:jc w:val="both"/>
        <w:rPr>
          <w:rFonts w:ascii="Times New Roman" w:hAnsi="Times New Roman" w:cs="Times New Roman"/>
          <w:color w:val="auto"/>
          <w:lang w:eastAsia="zh-CN"/>
        </w:rPr>
      </w:pPr>
      <w:r>
        <w:rPr>
          <w:rFonts w:hint="eastAsia" w:ascii="Times New Roman" w:hAnsi="Times New Roman" w:cs="Times New Roman"/>
          <w:lang w:eastAsia="zh-CN"/>
        </w:rPr>
        <w:t>7</w:t>
      </w:r>
      <w:r>
        <w:rPr>
          <w:rFonts w:ascii="Times New Roman" w:hAnsi="Times New Roman" w:cs="Times New Roman"/>
          <w:lang w:eastAsia="zh-CN"/>
        </w:rPr>
        <w:t>. 项目联系人</w:t>
      </w:r>
      <w:r>
        <w:rPr>
          <w:rFonts w:hint="eastAsia" w:ascii="Times New Roman" w:hAnsi="Times New Roman" w:cs="Times New Roman"/>
          <w:lang w:eastAsia="zh-CN"/>
        </w:rPr>
        <w:t>：陈</w:t>
      </w:r>
      <w:r>
        <w:rPr>
          <w:rFonts w:hint="eastAsia" w:ascii="Times New Roman" w:hAnsi="Times New Roman" w:cs="Times New Roman"/>
          <w:lang w:val="en-US" w:eastAsia="zh-CN"/>
        </w:rPr>
        <w:t>海伟 13616007156</w:t>
      </w:r>
      <w:r>
        <w:rPr>
          <w:rFonts w:hint="eastAsia" w:ascii="Times New Roman" w:hAnsi="Times New Roman" w:cs="Times New Roman"/>
          <w:lang w:eastAsia="zh-CN"/>
        </w:rPr>
        <w:t>（</w:t>
      </w:r>
      <w:r>
        <w:rPr>
          <w:rFonts w:ascii="Times New Roman" w:hAnsi="Times New Roman" w:cs="Times New Roman"/>
          <w:lang w:eastAsia="zh-CN"/>
        </w:rPr>
        <w:t>技术</w:t>
      </w:r>
      <w:r>
        <w:rPr>
          <w:rFonts w:hint="eastAsia" w:ascii="Times New Roman" w:hAnsi="Times New Roman" w:cs="Times New Roman"/>
          <w:lang w:eastAsia="zh-CN"/>
        </w:rPr>
        <w:t>），</w:t>
      </w:r>
      <w:r>
        <w:rPr>
          <w:rFonts w:hint="eastAsia" w:ascii="Times New Roman" w:hAnsi="Times New Roman" w:cs="Times New Roman"/>
          <w:color w:val="auto"/>
          <w:lang w:eastAsia="zh-CN"/>
        </w:rPr>
        <w:t>何震洋</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15259232765（</w:t>
      </w:r>
      <w:r>
        <w:rPr>
          <w:rFonts w:ascii="Times New Roman" w:hAnsi="Times New Roman" w:cs="Times New Roman"/>
          <w:color w:val="auto"/>
          <w:lang w:eastAsia="zh-CN"/>
        </w:rPr>
        <w:t>商务</w:t>
      </w:r>
      <w:r>
        <w:rPr>
          <w:rFonts w:hint="eastAsia" w:ascii="Times New Roman" w:hAnsi="Times New Roman" w:cs="Times New Roman"/>
          <w:color w:val="auto"/>
          <w:lang w:eastAsia="zh-CN"/>
        </w:rPr>
        <w:t>）</w:t>
      </w:r>
    </w:p>
    <w:p w14:paraId="074C3108">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14:paraId="33E204E5">
      <w:pPr>
        <w:pStyle w:val="19"/>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14:paraId="6573CE26">
      <w:pPr>
        <w:pStyle w:val="19"/>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14:paraId="70E48A99">
      <w:pPr>
        <w:pStyle w:val="19"/>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14:paraId="5EB52E3D">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14:paraId="05FC1410">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14:paraId="33203A79">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14:paraId="77712C02">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8EC75CD">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14:paraId="4FDD5788">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435B6103">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14:paraId="0DEEA3F1">
      <w:pPr>
        <w:pStyle w:val="19"/>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14:paraId="2BF15C38">
      <w:pPr>
        <w:pStyle w:val="19"/>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14:paraId="22A29C98">
      <w:pPr>
        <w:pStyle w:val="19"/>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14:paraId="1ED4CC67">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14:paraId="7717E7E7">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14:paraId="3A6ECDD2">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14:paraId="6A200D3A">
      <w:pPr>
        <w:pStyle w:val="77"/>
        <w:spacing w:line="336" w:lineRule="auto"/>
        <w:ind w:firstLine="139" w:firstLineChars="58"/>
        <w:rPr>
          <w:rFonts w:hint="eastAsia" w:ascii="Times New Roman" w:cs="Times New Roman"/>
          <w:color w:val="auto"/>
        </w:rPr>
      </w:pPr>
      <w:r>
        <w:rPr>
          <w:rFonts w:hint="eastAsia" w:ascii="Times New Roman" w:cs="Times New Roman"/>
          <w:color w:val="auto"/>
          <w:lang w:val="en-US" w:eastAsia="zh-CN"/>
        </w:rPr>
        <w:t>3.</w:t>
      </w:r>
      <w:r>
        <w:rPr>
          <w:rFonts w:hint="eastAsia" w:ascii="Times New Roman" w:cs="Times New Roman"/>
          <w:color w:val="auto"/>
        </w:rPr>
        <w:t>正式注册的合法组织、机构或公司，与比选人无诉讼纠纷，没有失信黑名单记录（以最高院失信被执行人系统发布信息为准）；</w:t>
      </w:r>
    </w:p>
    <w:p w14:paraId="499361C1">
      <w:pPr>
        <w:pStyle w:val="77"/>
        <w:spacing w:line="336" w:lineRule="auto"/>
        <w:ind w:firstLine="139" w:firstLineChars="58"/>
        <w:rPr>
          <w:rFonts w:hint="default" w:ascii="Times New Roman" w:eastAsia="宋体" w:cs="Times New Roman"/>
          <w:color w:val="auto"/>
          <w:lang w:val="en-US" w:eastAsia="zh-CN"/>
        </w:rPr>
      </w:pPr>
      <w:r>
        <w:rPr>
          <w:rFonts w:hint="eastAsia" w:ascii="Times New Roman" w:cs="Times New Roman"/>
          <w:color w:val="auto"/>
          <w:lang w:val="en-US" w:eastAsia="zh-CN"/>
        </w:rPr>
        <w:t>4.监测单位资质要求：持有效的省级（含）以上质量技术监督部门颁发的计量认证证书和取得CMA计量认证资质，并提供包括技术协议所需检测项目方法证明文件的CMA证书附表。</w:t>
      </w:r>
    </w:p>
    <w:p w14:paraId="10A51F96">
      <w:pPr>
        <w:spacing w:line="336" w:lineRule="auto"/>
        <w:ind w:left="411" w:leftChars="62" w:hanging="275" w:hangingChars="125"/>
        <w:rPr>
          <w:rFonts w:hint="eastAsia" w:ascii="Times New Roman" w:hAnsi="Times New Roman" w:cs="Times New Roman"/>
          <w:sz w:val="24"/>
          <w:szCs w:val="24"/>
          <w:lang w:eastAsia="zh-CN"/>
        </w:rPr>
      </w:pPr>
      <w:r>
        <w:rPr>
          <w:rFonts w:hint="eastAsia" w:ascii="Times New Roman" w:cs="Times New Roman"/>
          <w:color w:val="auto"/>
          <w:lang w:val="en-US" w:eastAsia="zh-CN"/>
        </w:rPr>
        <w:t>5</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14:paraId="2955872B">
      <w:pPr>
        <w:pStyle w:val="2"/>
        <w:spacing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14:paraId="335A5BC7">
      <w:pPr>
        <w:pStyle w:val="19"/>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1,600</w:t>
      </w:r>
      <w:r>
        <w:rPr>
          <w:rFonts w:ascii="Times New Roman" w:hAnsi="Times New Roman" w:cs="Times New Roman"/>
          <w:b/>
          <w:bCs/>
          <w:lang w:eastAsia="zh-CN"/>
        </w:rPr>
        <w:t>.00元整</w:t>
      </w:r>
      <w:r>
        <w:rPr>
          <w:rFonts w:ascii="Times New Roman" w:hAnsi="Times New Roman" w:cs="Times New Roman"/>
          <w:lang w:eastAsia="zh-CN"/>
        </w:rPr>
        <w:t>，参选单位应按照要求从参选单位基本账户转入比选单位的账户，比选单位账户信息如下：</w:t>
      </w:r>
    </w:p>
    <w:p w14:paraId="69B2F430">
      <w:pPr>
        <w:pStyle w:val="19"/>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14:paraId="70637B0A">
      <w:pPr>
        <w:pStyle w:val="19"/>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14:paraId="28C5BDA7">
      <w:pPr>
        <w:pStyle w:val="19"/>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14:paraId="2716CCAC">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注明用途：PTA废水处理生化污泥 和TA废料检测</w:t>
      </w:r>
      <w:r>
        <w:rPr>
          <w:rFonts w:hint="eastAsia" w:ascii="Times New Roman" w:hAnsi="Times New Roman" w:cs="Times New Roman"/>
          <w:b/>
          <w:bCs/>
          <w:sz w:val="24"/>
          <w:szCs w:val="24"/>
          <w:lang w:val="en-US" w:eastAsia="zh-CN"/>
        </w:rPr>
        <w:t>项目</w:t>
      </w:r>
      <w:r>
        <w:rPr>
          <w:rFonts w:ascii="Times New Roman" w:hAnsi="Times New Roman" w:cs="Times New Roman"/>
          <w:sz w:val="24"/>
          <w:szCs w:val="24"/>
          <w:lang w:eastAsia="zh-CN"/>
        </w:rPr>
        <w:t>参选保证金</w:t>
      </w:r>
    </w:p>
    <w:p w14:paraId="1D3E88DB">
      <w:pPr>
        <w:pStyle w:val="19"/>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14:paraId="63C3EC49">
      <w:pPr>
        <w:pStyle w:val="19"/>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2AA4C75F">
      <w:pPr>
        <w:pStyle w:val="19"/>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14:paraId="3FEC5E55">
      <w:pPr>
        <w:pStyle w:val="19"/>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14:paraId="2020B31F">
      <w:pPr>
        <w:pStyle w:val="19"/>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14:paraId="570D0401">
      <w:pPr>
        <w:pStyle w:val="19"/>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14:paraId="15FB9AA6">
      <w:pPr>
        <w:pStyle w:val="2"/>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14:paraId="1D72ABC6">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14:paraId="1B66032E">
      <w:pPr>
        <w:spacing w:line="360" w:lineRule="auto"/>
        <w:rPr>
          <w:rFonts w:ascii="Times New Roman" w:hAnsi="Times New Roman" w:cs="Times New Roman"/>
          <w:color w:val="0000FF"/>
          <w:lang w:eastAsia="zh-CN"/>
        </w:rPr>
      </w:pPr>
      <w:r>
        <w:rPr>
          <w:rFonts w:ascii="Times New Roman" w:hAnsi="Times New Roman" w:cs="Times New Roman"/>
          <w:lang w:eastAsia="zh-CN"/>
        </w:rPr>
        <w:t>1. 参选文件递交的时间：</w:t>
      </w:r>
      <w:r>
        <w:rPr>
          <w:rFonts w:ascii="Times New Roman" w:hAnsi="Times New Roman" w:cs="Times New Roman"/>
          <w:b/>
          <w:bCs/>
          <w:color w:val="auto"/>
          <w:lang w:eastAsia="zh-CN"/>
        </w:rPr>
        <w:t>自202</w:t>
      </w:r>
      <w:r>
        <w:rPr>
          <w:rFonts w:hint="eastAsia" w:ascii="Times New Roman" w:hAnsi="Times New Roman" w:cs="Times New Roman"/>
          <w:b/>
          <w:bCs/>
          <w:color w:val="auto"/>
          <w:lang w:val="en-US" w:eastAsia="zh-CN"/>
        </w:rPr>
        <w:t>4</w:t>
      </w:r>
      <w:r>
        <w:rPr>
          <w:rFonts w:ascii="Times New Roman" w:hAnsi="Times New Roman" w:cs="Times New Roman"/>
          <w:b/>
          <w:bCs/>
          <w:color w:val="auto"/>
          <w:lang w:eastAsia="zh-CN"/>
        </w:rPr>
        <w:t>年</w:t>
      </w:r>
      <w:r>
        <w:rPr>
          <w:rFonts w:hint="eastAsia" w:ascii="Times New Roman" w:hAnsi="Times New Roman" w:cs="Times New Roman"/>
          <w:b/>
          <w:bCs/>
          <w:color w:val="auto"/>
          <w:lang w:val="en-US" w:eastAsia="zh-CN"/>
        </w:rPr>
        <w:t>10</w:t>
      </w:r>
      <w:r>
        <w:rPr>
          <w:rFonts w:ascii="Times New Roman" w:hAnsi="Times New Roman" w:cs="Times New Roman"/>
          <w:b/>
          <w:bCs/>
          <w:color w:val="auto"/>
          <w:lang w:eastAsia="zh-CN"/>
        </w:rPr>
        <w:t>月</w:t>
      </w:r>
      <w:r>
        <w:rPr>
          <w:rFonts w:hint="default" w:ascii="Times New Roman" w:hAnsi="Times New Roman" w:cs="Times New Roman"/>
          <w:b/>
          <w:bCs/>
          <w:color w:val="auto"/>
          <w:lang w:val="en-US" w:eastAsia="zh-CN"/>
        </w:rPr>
        <w:t>31</w:t>
      </w:r>
      <w:r>
        <w:rPr>
          <w:rFonts w:hint="eastAsia" w:ascii="Times New Roman" w:hAnsi="Times New Roman" w:cs="Times New Roman"/>
          <w:b/>
          <w:bCs/>
          <w:color w:val="auto"/>
          <w:lang w:eastAsia="zh-CN"/>
        </w:rPr>
        <w:t xml:space="preserve"> </w:t>
      </w:r>
      <w:r>
        <w:rPr>
          <w:rFonts w:ascii="Times New Roman" w:hAnsi="Times New Roman" w:cs="Times New Roman"/>
          <w:b/>
          <w:bCs/>
          <w:color w:val="auto"/>
          <w:lang w:eastAsia="zh-CN"/>
        </w:rPr>
        <w:t>日~202</w:t>
      </w:r>
      <w:r>
        <w:rPr>
          <w:rFonts w:hint="eastAsia" w:ascii="Times New Roman" w:hAnsi="Times New Roman" w:cs="Times New Roman"/>
          <w:b/>
          <w:bCs/>
          <w:color w:val="auto"/>
          <w:lang w:val="en-US" w:eastAsia="zh-CN"/>
        </w:rPr>
        <w:t>4</w:t>
      </w:r>
      <w:r>
        <w:rPr>
          <w:rFonts w:ascii="Times New Roman" w:hAnsi="Times New Roman" w:cs="Times New Roman"/>
          <w:b/>
          <w:bCs/>
          <w:color w:val="auto"/>
          <w:lang w:eastAsia="zh-CN"/>
        </w:rPr>
        <w:t>年</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11</w:t>
      </w:r>
      <w:r>
        <w:rPr>
          <w:rFonts w:ascii="Times New Roman" w:hAnsi="Times New Roman" w:cs="Times New Roman"/>
          <w:b/>
          <w:bCs/>
          <w:color w:val="auto"/>
          <w:lang w:eastAsia="zh-CN"/>
        </w:rPr>
        <w:t>月</w:t>
      </w:r>
      <w:r>
        <w:rPr>
          <w:rFonts w:hint="eastAsia" w:ascii="Times New Roman" w:hAnsi="Times New Roman" w:cs="Times New Roman"/>
          <w:b/>
          <w:bCs/>
          <w:color w:val="auto"/>
          <w:lang w:eastAsia="zh-CN"/>
        </w:rPr>
        <w:t xml:space="preserve"> </w:t>
      </w:r>
      <w:r>
        <w:rPr>
          <w:rFonts w:hint="default" w:ascii="Times New Roman" w:hAnsi="Times New Roman" w:cs="Times New Roman"/>
          <w:b/>
          <w:bCs/>
          <w:color w:val="auto"/>
          <w:lang w:val="en-US" w:eastAsia="zh-CN"/>
        </w:rPr>
        <w:t>12</w:t>
      </w:r>
      <w:r>
        <w:rPr>
          <w:rFonts w:ascii="Times New Roman" w:hAnsi="Times New Roman" w:cs="Times New Roman"/>
          <w:b/>
          <w:bCs/>
          <w:color w:val="auto"/>
          <w:lang w:eastAsia="zh-CN"/>
        </w:rPr>
        <w:t>日止（共</w:t>
      </w:r>
      <w:r>
        <w:rPr>
          <w:rFonts w:hint="eastAsia" w:ascii="Times New Roman" w:hAnsi="Times New Roman" w:cs="Times New Roman"/>
          <w:b/>
          <w:bCs/>
          <w:color w:val="auto"/>
          <w:lang w:val="en-US" w:eastAsia="zh-CN"/>
        </w:rPr>
        <w:t>12</w:t>
      </w:r>
      <w:r>
        <w:rPr>
          <w:rFonts w:ascii="Times New Roman" w:hAnsi="Times New Roman" w:cs="Times New Roman"/>
          <w:b/>
          <w:bCs/>
          <w:color w:val="auto"/>
          <w:lang w:eastAsia="zh-CN"/>
        </w:rPr>
        <w:t>天）。</w:t>
      </w:r>
    </w:p>
    <w:p w14:paraId="2AC8CF27">
      <w:pPr>
        <w:pStyle w:val="3"/>
        <w:tabs>
          <w:tab w:val="left" w:pos="6879"/>
        </w:tabs>
        <w:spacing w:line="360" w:lineRule="auto"/>
        <w:ind w:left="241" w:right="106" w:hanging="241" w:hangingChars="100"/>
        <w:rPr>
          <w:rFonts w:ascii="Times New Roman" w:hAnsi="Times New Roman" w:cs="Times New Roman"/>
          <w:color w:val="FF0000"/>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hint="eastAsia" w:ascii="Times New Roman" w:hAnsi="Times New Roman" w:cs="Times New Roman"/>
          <w:spacing w:val="-56"/>
          <w:lang w:eastAsia="zh-CN"/>
        </w:rPr>
        <w:t>何震洋</w:t>
      </w:r>
      <w:r>
        <w:rPr>
          <w:rFonts w:ascii="Times New Roman" w:hAnsi="Times New Roman" w:cs="Times New Roman"/>
          <w:lang w:eastAsia="zh-CN"/>
        </w:rPr>
        <w:t xml:space="preserve">   联系电话</w:t>
      </w:r>
      <w:r>
        <w:rPr>
          <w:rFonts w:ascii="Times New Roman" w:hAnsi="Times New Roman" w:cs="Times New Roman"/>
          <w:spacing w:val="-4"/>
          <w:lang w:eastAsia="zh-CN"/>
        </w:rPr>
        <w:t>：</w:t>
      </w:r>
      <w:r>
        <w:rPr>
          <w:rFonts w:hint="eastAsia" w:ascii="Times New Roman" w:hAnsi="Times New Roman" w:cs="Times New Roman"/>
          <w:color w:val="auto"/>
          <w:spacing w:val="-4"/>
          <w:lang w:eastAsia="zh-CN"/>
        </w:rPr>
        <w:t>15259232765</w:t>
      </w:r>
      <w:r>
        <w:rPr>
          <w:rFonts w:ascii="Times New Roman" w:hAnsi="Times New Roman" w:cs="Times New Roman"/>
          <w:color w:val="auto"/>
          <w:spacing w:val="-4"/>
          <w:lang w:eastAsia="zh-CN"/>
        </w:rPr>
        <w:t>。</w:t>
      </w:r>
    </w:p>
    <w:p w14:paraId="1FB3B03D">
      <w:pPr>
        <w:pStyle w:val="3"/>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14:paraId="636464DA">
      <w:pPr>
        <w:pStyle w:val="19"/>
        <w:numPr>
          <w:ilvl w:val="0"/>
          <w:numId w:val="6"/>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14:paraId="117ED02C">
      <w:pPr>
        <w:pStyle w:val="19"/>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14:paraId="299A50EE">
      <w:pPr>
        <w:pStyle w:val="19"/>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14:paraId="3D275DEF">
      <w:pPr>
        <w:pStyle w:val="19"/>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371A6835">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14:paraId="646FD976">
      <w:pPr>
        <w:pStyle w:val="2"/>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14:paraId="5C9855CB">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14:paraId="03EEC140">
      <w:pPr>
        <w:pStyle w:val="19"/>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14:paraId="359A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1086BB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14:paraId="0822E7A9">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14:paraId="0A6C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2AC87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14:paraId="64AFFB0A">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14:paraId="1BAB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1523794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14:paraId="24F6117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14:paraId="32EB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55A8CF7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14:paraId="2428D1D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14:paraId="2DA2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BD1A62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14:paraId="106F0D1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14:paraId="7B1C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048E803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14:paraId="6DFB835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14:paraId="11F3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03880F81">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14:paraId="6E44662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14:paraId="6930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445AB9BB">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14:paraId="54D402E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14:paraId="23DB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029615F">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14:paraId="4BF5EE0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14:paraId="4CB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14:paraId="4E0177A6">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14:paraId="4A2B3FD8">
      <w:pPr>
        <w:pStyle w:val="19"/>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14:paraId="112082E2">
      <w:pPr>
        <w:pStyle w:val="19"/>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14:paraId="186BAC86">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14:paraId="7A7A6866">
      <w:pPr>
        <w:pStyle w:val="19"/>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14:paraId="6003CFDF">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14:paraId="3CE072C0">
      <w:pPr>
        <w:pStyle w:val="19"/>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14:paraId="2EB13841">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14:paraId="38861931">
      <w:pPr>
        <w:pStyle w:val="19"/>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14:paraId="3FD83061">
      <w:pPr>
        <w:pStyle w:val="19"/>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14:paraId="7E896032">
      <w:pPr>
        <w:pStyle w:val="19"/>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14:paraId="6C0F95F9">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14:paraId="49C3065C">
      <w:pPr>
        <w:pStyle w:val="2"/>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14:paraId="734217FE">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14:paraId="7B7F83AA">
      <w:pPr>
        <w:pStyle w:val="19"/>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14:paraId="70918766">
      <w:pPr>
        <w:pStyle w:val="19"/>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14:paraId="5AC03074">
      <w:pPr>
        <w:pStyle w:val="19"/>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6D8648E0">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14:paraId="7BC2C10F">
      <w:pPr>
        <w:pStyle w:val="19"/>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13FCCF0B">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14:paraId="0696EAF7">
      <w:pPr>
        <w:pStyle w:val="58"/>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w:t>
      </w:r>
      <w:r>
        <w:rPr>
          <w:rFonts w:hint="eastAsia" w:ascii="Times New Roman" w:hAnsi="Times New Roman"/>
          <w:sz w:val="24"/>
          <w:szCs w:val="24"/>
          <w:lang w:val="en-US" w:eastAsia="zh-CN"/>
        </w:rPr>
        <w:t>7.9</w:t>
      </w:r>
      <w:r>
        <w:rPr>
          <w:rFonts w:hint="eastAsia" w:ascii="Times New Roman" w:hAnsi="Times New Roman"/>
          <w:sz w:val="24"/>
          <w:szCs w:val="24"/>
        </w:rPr>
        <w:t>万</w:t>
      </w:r>
      <w:r>
        <w:rPr>
          <w:rFonts w:ascii="Times New Roman" w:hAnsi="Times New Roman"/>
          <w:sz w:val="24"/>
          <w:szCs w:val="24"/>
        </w:rPr>
        <w:t>元（</w:t>
      </w:r>
      <w:r>
        <w:rPr>
          <w:rFonts w:hint="eastAsia" w:ascii="Times New Roman" w:hAnsi="Times New Roman"/>
          <w:sz w:val="24"/>
          <w:szCs w:val="24"/>
          <w:lang w:val="en-US" w:eastAsia="zh-CN"/>
        </w:rPr>
        <w:t>不</w:t>
      </w:r>
      <w:r>
        <w:rPr>
          <w:rFonts w:ascii="Times New Roman" w:hAnsi="Times New Roman"/>
          <w:sz w:val="24"/>
          <w:szCs w:val="24"/>
        </w:rPr>
        <w:t>含税）。</w:t>
      </w:r>
    </w:p>
    <w:p w14:paraId="3CA286F6">
      <w:pPr>
        <w:pStyle w:val="58"/>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14:paraId="21E9CC75">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14:paraId="0104E34E">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14:paraId="41901395">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14:paraId="286708E3">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14:paraId="44C5DF28">
      <w:pPr>
        <w:pStyle w:val="19"/>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14:paraId="307F8F89">
      <w:pPr>
        <w:spacing w:beforeLines="50" w:afterLines="50" w:line="360" w:lineRule="auto"/>
        <w:rPr>
          <w:rFonts w:ascii="Times New Roman" w:hAnsi="Times New Roman" w:cs="Times New Roman"/>
          <w:b/>
          <w:w w:val="95"/>
          <w:sz w:val="28"/>
          <w:lang w:eastAsia="zh-CN"/>
        </w:rPr>
      </w:pPr>
    </w:p>
    <w:p w14:paraId="753DE596">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14:paraId="7A65951E">
      <w:pPr>
        <w:pStyle w:val="19"/>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14:paraId="500FEC9B">
      <w:pPr>
        <w:pStyle w:val="19"/>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14:paraId="0955CF9E">
      <w:pPr>
        <w:pStyle w:val="19"/>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14:paraId="363A2EE2">
      <w:pPr>
        <w:pStyle w:val="19"/>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14:paraId="541F4B85">
      <w:pPr>
        <w:pStyle w:val="19"/>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14:paraId="6AF9496D">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14:paraId="6AE979BE">
      <w:pPr>
        <w:pStyle w:val="19"/>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14:paraId="5F01292D">
      <w:pPr>
        <w:pStyle w:val="19"/>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14:paraId="11E0F704">
      <w:pPr>
        <w:pStyle w:val="19"/>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b/>
          <w:bCs/>
          <w:lang w:eastAsia="zh-CN"/>
        </w:rPr>
        <w:t>福建福海创石油化工有限公司指定其权属子公司</w:t>
      </w:r>
      <w:r>
        <w:rPr>
          <w:rFonts w:hint="eastAsia" w:ascii="Times New Roman" w:hAnsi="Times New Roman" w:cs="Times New Roman"/>
          <w:b/>
          <w:bCs/>
          <w:lang w:eastAsia="zh-CN"/>
        </w:rPr>
        <w:t>翔鹭石化（漳州）有限公司</w:t>
      </w:r>
      <w:r>
        <w:rPr>
          <w:rFonts w:ascii="Times New Roman" w:hAnsi="Times New Roman" w:cs="Times New Roman"/>
          <w:b/>
          <w:bCs/>
          <w:lang w:eastAsia="zh-CN"/>
        </w:rPr>
        <w:t>作为合同执行主体</w:t>
      </w:r>
      <w:r>
        <w:rPr>
          <w:rFonts w:hint="eastAsia" w:ascii="Times New Roman" w:hAnsi="Times New Roman" w:cs="Times New Roman"/>
          <w:b/>
          <w:bCs/>
          <w:lang w:eastAsia="zh-CN"/>
        </w:rPr>
        <w:t>。</w:t>
      </w:r>
      <w:r>
        <w:rPr>
          <w:rStyle w:val="48"/>
          <w:rFonts w:ascii="Times New Roman" w:hAnsi="Times New Roman" w:cs="Times New Roman"/>
          <w:b w:val="0"/>
          <w:bCs w:val="0"/>
          <w:sz w:val="21"/>
          <w:szCs w:val="22"/>
          <w:lang w:eastAsia="zh-CN"/>
        </w:rPr>
        <w:t>将于</w:t>
      </w:r>
      <w:r>
        <w:rPr>
          <w:rStyle w:val="48"/>
          <w:rFonts w:ascii="Times New Roman" w:hAnsi="Times New Roman" w:cs="Times New Roman"/>
          <w:b w:val="0"/>
          <w:bCs w:val="0"/>
          <w:lang w:eastAsia="zh-CN"/>
        </w:rPr>
        <w:t>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14:paraId="37F6B762">
      <w:pPr>
        <w:pStyle w:val="19"/>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6FBA2BE5">
      <w:pPr>
        <w:pStyle w:val="19"/>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14:paraId="5105B055">
      <w:pPr>
        <w:pStyle w:val="19"/>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14:paraId="0A4480F2">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14:paraId="152B47CB">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14:paraId="7579E4C0">
      <w:pPr>
        <w:pStyle w:val="19"/>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14:paraId="3083DB71">
      <w:pPr>
        <w:pStyle w:val="19"/>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14:paraId="76416F5E">
      <w:pPr>
        <w:pStyle w:val="19"/>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14:paraId="163EA85F">
      <w:pPr>
        <w:pStyle w:val="19"/>
        <w:spacing w:before="26" w:line="360" w:lineRule="auto"/>
        <w:ind w:left="118" w:right="106" w:firstLine="480"/>
        <w:jc w:val="both"/>
        <w:rPr>
          <w:rFonts w:ascii="Times New Roman" w:hAnsi="Times New Roman" w:cs="Times New Roman"/>
          <w:lang w:eastAsia="zh-CN"/>
        </w:rPr>
      </w:pPr>
    </w:p>
    <w:p w14:paraId="75207F27">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14:paraId="393776BE">
      <w:pPr>
        <w:pStyle w:val="19"/>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14:paraId="682F8124">
      <w:pPr>
        <w:pStyle w:val="19"/>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14:paraId="2C7828DD">
      <w:pPr>
        <w:pStyle w:val="19"/>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14:paraId="2BB356C1">
      <w:pPr>
        <w:pStyle w:val="19"/>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14:paraId="04B1E296">
      <w:pPr>
        <w:pStyle w:val="19"/>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14:paraId="0358C267">
      <w:pPr>
        <w:pStyle w:val="58"/>
        <w:spacing w:line="360" w:lineRule="auto"/>
      </w:pPr>
      <w:bookmarkStart w:id="0" w:name="_Toc251742852"/>
    </w:p>
    <w:p w14:paraId="18EDE30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PTA废水处理生化污泥 和TA废料检测</w:t>
      </w:r>
    </w:p>
    <w:p w14:paraId="4EC790E4">
      <w:pPr>
        <w:spacing w:line="420" w:lineRule="auto"/>
        <w:jc w:val="center"/>
        <w:rPr>
          <w:rFonts w:hint="eastAsia"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技术服务合同</w:t>
      </w:r>
    </w:p>
    <w:p w14:paraId="486EF210">
      <w:pPr>
        <w:pStyle w:val="24"/>
        <w:spacing w:line="360" w:lineRule="auto"/>
        <w:jc w:val="center"/>
        <w:rPr>
          <w:rFonts w:ascii="Times New Roman" w:hAnsi="Times New Roman" w:cs="Times New Roman"/>
          <w:b w:val="0"/>
          <w:bCs w:val="0"/>
          <w:sz w:val="30"/>
          <w:szCs w:val="30"/>
          <w:lang w:eastAsia="zh-CN"/>
        </w:rPr>
      </w:pPr>
      <w:r>
        <w:rPr>
          <w:rFonts w:hint="eastAsia" w:ascii="Times New Roman" w:hAnsi="Times New Roman" w:cs="Times New Roman"/>
          <w:b w:val="0"/>
          <w:bCs w:val="0"/>
          <w:sz w:val="30"/>
          <w:szCs w:val="30"/>
          <w:lang w:eastAsia="zh-CN"/>
        </w:rPr>
        <w:t>（</w:t>
      </w:r>
      <w:r>
        <w:rPr>
          <w:rFonts w:hint="eastAsia" w:ascii="Times New Roman" w:hAnsi="Times New Roman" w:cs="Times New Roman"/>
          <w:b w:val="0"/>
          <w:bCs w:val="0"/>
          <w:sz w:val="30"/>
          <w:szCs w:val="30"/>
          <w:lang w:val="en-US" w:eastAsia="zh-CN"/>
        </w:rPr>
        <w:t>合同编号：                             ）</w:t>
      </w:r>
    </w:p>
    <w:p w14:paraId="1DF20516">
      <w:pPr>
        <w:pStyle w:val="24"/>
        <w:spacing w:line="360" w:lineRule="auto"/>
        <w:jc w:val="center"/>
        <w:rPr>
          <w:rFonts w:ascii="Times New Roman" w:hAnsi="Times New Roman" w:cs="Times New Roman"/>
          <w:b/>
          <w:sz w:val="36"/>
          <w:szCs w:val="36"/>
          <w:lang w:eastAsia="zh-CN"/>
        </w:rPr>
      </w:pPr>
    </w:p>
    <w:p w14:paraId="2C7258A1">
      <w:pPr>
        <w:pStyle w:val="24"/>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14:paraId="1A196D59">
      <w:pPr>
        <w:pStyle w:val="24"/>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14:paraId="5394C731">
      <w:pPr>
        <w:pStyle w:val="24"/>
        <w:spacing w:line="360" w:lineRule="auto"/>
        <w:jc w:val="both"/>
        <w:rPr>
          <w:rFonts w:ascii="Times New Roman" w:hAnsi="Times New Roman" w:cs="Times New Roman"/>
          <w:b/>
          <w:sz w:val="36"/>
          <w:szCs w:val="36"/>
          <w:lang w:eastAsia="zh-CN"/>
        </w:rPr>
      </w:pPr>
    </w:p>
    <w:p w14:paraId="16C15BD4">
      <w:pPr>
        <w:pStyle w:val="24"/>
        <w:spacing w:line="400" w:lineRule="exact"/>
        <w:rPr>
          <w:rFonts w:ascii="Times New Roman" w:hAnsi="Times New Roman" w:cs="Times New Roman"/>
          <w:sz w:val="32"/>
          <w:szCs w:val="32"/>
          <w:lang w:eastAsia="zh-CN"/>
        </w:rPr>
      </w:pPr>
    </w:p>
    <w:p w14:paraId="267FA3A8">
      <w:pPr>
        <w:pStyle w:val="24"/>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w:t>
      </w:r>
      <w:r>
        <w:rPr>
          <w:rFonts w:hint="eastAsia" w:ascii="Times New Roman" w:hAnsi="Times New Roman" w:cs="Times New Roman"/>
          <w:sz w:val="24"/>
          <w:szCs w:val="24"/>
          <w:highlight w:val="none"/>
          <w:lang w:val="en-US" w:eastAsia="zh-CN"/>
        </w:rPr>
        <w:t>简称：</w:t>
      </w:r>
      <w:r>
        <w:rPr>
          <w:rFonts w:ascii="Times New Roman" w:hAnsi="Times New Roman" w:cs="Times New Roman"/>
          <w:sz w:val="24"/>
          <w:szCs w:val="24"/>
          <w:highlight w:val="none"/>
          <w:lang w:eastAsia="zh-CN"/>
        </w:rPr>
        <w:t>甲方）：</w:t>
      </w:r>
      <w:r>
        <w:rPr>
          <w:rFonts w:hint="eastAsia" w:ascii="Times New Roman" w:hAnsi="Times New Roman" w:cs="Times New Roman"/>
          <w:sz w:val="24"/>
          <w:szCs w:val="24"/>
          <w:highlight w:val="none"/>
          <w:lang w:val="en-US" w:eastAsia="zh-CN"/>
        </w:rPr>
        <w:t>翔鹭石化</w:t>
      </w:r>
      <w:r>
        <w:rPr>
          <w:rFonts w:ascii="Times New Roman" w:hAnsi="Times New Roman" w:cs="Times New Roman"/>
          <w:snapToGrid w:val="0"/>
          <w:color w:val="000000"/>
          <w:sz w:val="24"/>
          <w:szCs w:val="24"/>
          <w:highlight w:val="none"/>
          <w:lang w:eastAsia="zh-CN"/>
        </w:rPr>
        <w:t>（漳州）有限公司</w:t>
      </w:r>
      <w:r>
        <w:rPr>
          <w:rFonts w:ascii="Times New Roman" w:hAnsi="Times New Roman" w:cs="Times New Roman"/>
          <w:sz w:val="24"/>
          <w:szCs w:val="24"/>
          <w:highlight w:val="none"/>
          <w:lang w:eastAsia="zh-CN"/>
        </w:rPr>
        <w:t xml:space="preserve"> </w:t>
      </w:r>
    </w:p>
    <w:p w14:paraId="5072CA69">
      <w:pPr>
        <w:pStyle w:val="24"/>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地：福建省漳州市古雷开发区腾龙路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14:paraId="0EEA0F7C">
      <w:pPr>
        <w:pStyle w:val="24"/>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p>
    <w:p w14:paraId="04A5F61D">
      <w:pPr>
        <w:pStyle w:val="24"/>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eastAsia="zh-CN"/>
        </w:rPr>
        <w:t>陈海伟</w:t>
      </w:r>
      <w:r>
        <w:rPr>
          <w:rFonts w:ascii="Times New Roman" w:hAnsi="Times New Roman" w:cs="Times New Roman"/>
          <w:bCs/>
          <w:sz w:val="24"/>
          <w:szCs w:val="24"/>
          <w:highlight w:val="none"/>
          <w:u w:val="none"/>
          <w:lang w:eastAsia="zh-CN"/>
        </w:rPr>
        <w:t xml:space="preserve"> </w:t>
      </w:r>
    </w:p>
    <w:p w14:paraId="3E7FEDEA">
      <w:pPr>
        <w:pStyle w:val="24"/>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通讯地址：福建省漳州市古雷经济开发区腾龙路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14:paraId="780B5DE7">
      <w:pPr>
        <w:pStyle w:val="24"/>
        <w:spacing w:line="360" w:lineRule="auto"/>
        <w:ind w:left="418" w:leftChars="190" w:firstLine="0" w:firstLineChars="0"/>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lang w:eastAsia="zh-CN"/>
        </w:rPr>
        <w:t>电    话：</w:t>
      </w:r>
      <w:r>
        <w:rPr>
          <w:rFonts w:hint="eastAsia" w:ascii="宋体" w:hAnsi="宋体" w:eastAsia="宋体" w:cs="宋体"/>
          <w:sz w:val="24"/>
          <w:szCs w:val="24"/>
        </w:rPr>
        <w:t>13616007156</w:t>
      </w:r>
    </w:p>
    <w:p w14:paraId="15A0F910">
      <w:pPr>
        <w:pStyle w:val="24"/>
        <w:spacing w:line="360" w:lineRule="auto"/>
        <w:ind w:left="418" w:leftChars="190" w:firstLine="0" w:firstLineChars="0"/>
        <w:rPr>
          <w:rFonts w:ascii="Times New Roman" w:hAnsi="Times New Roman" w:cs="Times New Roman"/>
          <w:sz w:val="24"/>
          <w:szCs w:val="24"/>
          <w:highlight w:val="none"/>
          <w:u w:val="none"/>
          <w:lang w:eastAsia="zh-CN"/>
        </w:rPr>
      </w:pPr>
      <w:r>
        <w:rPr>
          <w:rFonts w:ascii="Times New Roman" w:hAnsi="Times New Roman" w:cs="Times New Roman"/>
          <w:sz w:val="24"/>
          <w:szCs w:val="24"/>
          <w:highlight w:val="none"/>
          <w:lang w:eastAsia="zh-CN"/>
        </w:rPr>
        <w:t>电子信箱：</w:t>
      </w:r>
      <w:r>
        <w:rPr>
          <w:rFonts w:hint="eastAsia" w:ascii="Times New Roman" w:hAnsi="Times New Roman" w:cs="Times New Roman"/>
          <w:sz w:val="24"/>
          <w:szCs w:val="24"/>
          <w:highlight w:val="none"/>
          <w:lang w:val="en-US" w:eastAsia="zh-CN"/>
        </w:rPr>
        <w:t>hwcheng</w:t>
      </w:r>
      <w:r>
        <w:rPr>
          <w:rFonts w:ascii="Times New Roman" w:hAnsi="Times New Roman" w:cs="Times New Roman"/>
          <w:bCs/>
          <w:sz w:val="24"/>
          <w:szCs w:val="24"/>
          <w:highlight w:val="none"/>
          <w:u w:val="none"/>
          <w:lang w:eastAsia="zh-CN"/>
        </w:rPr>
        <w:t>@fhcpec.com.cn</w:t>
      </w:r>
    </w:p>
    <w:p w14:paraId="669BBD1A">
      <w:pPr>
        <w:pStyle w:val="24"/>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6466E1D9">
      <w:pPr>
        <w:pStyle w:val="24"/>
        <w:spacing w:line="360" w:lineRule="auto"/>
        <w:rPr>
          <w:rFonts w:ascii="Times New Roman" w:hAnsi="Times New Roman" w:cs="Times New Roman"/>
          <w:sz w:val="24"/>
          <w:szCs w:val="24"/>
          <w:lang w:eastAsia="zh-CN"/>
        </w:rPr>
      </w:pPr>
    </w:p>
    <w:p w14:paraId="2BD9DB19">
      <w:pPr>
        <w:pStyle w:val="24"/>
        <w:spacing w:line="360" w:lineRule="auto"/>
        <w:ind w:left="339" w:leftChars="154" w:firstLine="0" w:firstLineChars="0"/>
        <w:rPr>
          <w:rFonts w:ascii="Times New Roman" w:hAnsi="Times New Roman" w:cs="Times New Roman"/>
          <w:sz w:val="24"/>
          <w:szCs w:val="24"/>
        </w:rPr>
      </w:pPr>
      <w:r>
        <w:rPr>
          <w:rFonts w:ascii="Times New Roman" w:hAnsi="Times New Roman" w:cs="Times New Roman"/>
          <w:sz w:val="24"/>
          <w:szCs w:val="24"/>
        </w:rPr>
        <w:t>受托方（乙方）：</w:t>
      </w:r>
    </w:p>
    <w:p w14:paraId="322197CC">
      <w:pPr>
        <w:pStyle w:val="24"/>
        <w:spacing w:line="360" w:lineRule="auto"/>
        <w:ind w:left="339" w:leftChars="154" w:firstLine="0" w:firstLineChars="0"/>
        <w:rPr>
          <w:rFonts w:ascii="Times New Roman" w:hAnsi="Times New Roman" w:cs="Times New Roman"/>
          <w:sz w:val="24"/>
          <w:szCs w:val="24"/>
        </w:rPr>
      </w:pPr>
      <w:r>
        <w:rPr>
          <w:rFonts w:ascii="Times New Roman" w:hAnsi="Times New Roman" w:cs="Times New Roman"/>
          <w:sz w:val="24"/>
          <w:szCs w:val="24"/>
        </w:rPr>
        <w:t>住  所  地：</w:t>
      </w:r>
    </w:p>
    <w:p w14:paraId="59A13E1E">
      <w:pPr>
        <w:pStyle w:val="24"/>
        <w:spacing w:line="360" w:lineRule="auto"/>
        <w:ind w:left="339" w:leftChars="154"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14:paraId="75C5551E">
      <w:pPr>
        <w:pStyle w:val="24"/>
        <w:spacing w:line="360" w:lineRule="auto"/>
        <w:ind w:left="339" w:leftChars="154"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14:paraId="51197ED6">
      <w:pPr>
        <w:pStyle w:val="24"/>
        <w:spacing w:line="360" w:lineRule="auto"/>
        <w:ind w:left="339" w:leftChars="154"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14:paraId="23DAF037">
      <w:pPr>
        <w:pStyle w:val="24"/>
        <w:spacing w:line="360" w:lineRule="auto"/>
        <w:ind w:left="339" w:leftChars="154"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14:paraId="3E8AAC9D">
      <w:pPr>
        <w:pStyle w:val="24"/>
        <w:spacing w:line="360" w:lineRule="auto"/>
        <w:ind w:left="339" w:leftChars="154"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14:paraId="0E171191">
      <w:pPr>
        <w:pStyle w:val="24"/>
        <w:spacing w:line="360" w:lineRule="auto"/>
        <w:ind w:left="339" w:leftChars="154" w:firstLine="0" w:firstLineChars="0"/>
        <w:rPr>
          <w:rFonts w:ascii="Times New Roman" w:hAnsi="Times New Roman" w:cs="Times New Roman"/>
          <w:sz w:val="24"/>
          <w:szCs w:val="24"/>
          <w:lang w:eastAsia="zh-CN"/>
        </w:rPr>
      </w:pPr>
    </w:p>
    <w:p w14:paraId="33013009">
      <w:pPr>
        <w:pStyle w:val="24"/>
        <w:spacing w:line="360" w:lineRule="auto"/>
        <w:ind w:left="339" w:leftChars="154" w:firstLine="0" w:firstLineChars="0"/>
        <w:rPr>
          <w:rFonts w:ascii="Times New Roman" w:hAnsi="Times New Roman" w:cs="Times New Roman"/>
          <w:sz w:val="24"/>
          <w:szCs w:val="24"/>
          <w:lang w:eastAsia="zh-CN"/>
        </w:rPr>
      </w:pPr>
    </w:p>
    <w:p w14:paraId="528C2ADC">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36" w:firstLineChars="208"/>
        <w:jc w:val="left"/>
        <w:textAlignment w:val="auto"/>
        <w:outlineLvl w:val="9"/>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lang w:eastAsia="zh-CN"/>
        </w:rPr>
        <w:t>本合同由甲方委托乙方就PTA废水处理生化污泥 和TA废料检测</w:t>
      </w:r>
      <w:r>
        <w:rPr>
          <w:rFonts w:hint="default" w:ascii="Times New Roman" w:hAnsi="Times New Roman" w:eastAsia="宋体" w:cs="Times New Roman"/>
          <w:color w:val="auto"/>
          <w:sz w:val="21"/>
          <w:szCs w:val="21"/>
          <w:lang w:eastAsia="zh-CN"/>
        </w:rPr>
        <w:t>进行技术服务及咨询</w:t>
      </w:r>
      <w:r>
        <w:rPr>
          <w:rFonts w:hint="default" w:ascii="Times New Roman" w:hAnsi="Times New Roman" w:eastAsia="宋体" w:cs="Times New Roman"/>
          <w:sz w:val="21"/>
          <w:szCs w:val="21"/>
          <w:lang w:eastAsia="zh-CN"/>
        </w:rPr>
        <w:t>，并支付技术服务及咨询报酬。双方经过平等协商，在真实、充分地表达各自意愿的基础上，根据《中华人民共和国民法典》的规定，达成如下协议，并由双方共同恪守。</w:t>
      </w:r>
    </w:p>
    <w:p w14:paraId="317D6F5F">
      <w:pPr>
        <w:pStyle w:val="24"/>
        <w:keepNext w:val="0"/>
        <w:keepLines w:val="0"/>
        <w:pageBreakBefore w:val="0"/>
        <w:widowControl w:val="0"/>
        <w:kinsoku/>
        <w:wordWrap/>
        <w:overflowPunct/>
        <w:topLinePunct w:val="0"/>
        <w:autoSpaceDE w:val="0"/>
        <w:autoSpaceDN w:val="0"/>
        <w:bidi w:val="0"/>
        <w:snapToGrid/>
        <w:spacing w:line="360" w:lineRule="auto"/>
        <w:ind w:right="0" w:rightChars="0"/>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第一条</w:t>
      </w:r>
      <w:r>
        <w:rPr>
          <w:rFonts w:hint="default" w:ascii="Times New Roman" w:hAnsi="Times New Roman" w:eastAsia="宋体" w:cs="Times New Roman"/>
          <w:sz w:val="21"/>
          <w:szCs w:val="21"/>
          <w:lang w:eastAsia="zh-CN"/>
        </w:rPr>
        <w:t>　乙方进行技术咨询的内容、要求、方式：</w:t>
      </w:r>
    </w:p>
    <w:p w14:paraId="122C6BF3">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相关观测及测量,须满足</w:t>
      </w:r>
    </w:p>
    <w:p w14:paraId="3C58C42E">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1、检测依据标准：《危险废物鉴别标准 浸出毒性鉴别》GB5085.3-2007</w:t>
      </w:r>
    </w:p>
    <w:p w14:paraId="35BF3C4C">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2、检测分析项目：金属钴、锰的浸出毒性和其它毒性物质含量的分析检测。</w:t>
      </w:r>
    </w:p>
    <w:p w14:paraId="078DBF35">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3、监测单位资质要求：持有效的省级（含）以上质量技术监督部门颁发的计量认证证书和取得CMA计量认证资质，并提供包括技术协议所需检测项目方法证明文件的CMA证书附表。</w:t>
      </w:r>
    </w:p>
    <w:p w14:paraId="1112486C">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4、监测单位使用的计量检测器、设备及计量器等监测仪器需进行检定、校准或核查，并在有效期内使用。</w:t>
      </w:r>
    </w:p>
    <w:p w14:paraId="499B123B">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5、监测单位应提供计划采样检测时间表，以便甲方据需要派员参与或监护过程。</w:t>
      </w:r>
    </w:p>
    <w:p w14:paraId="14FF3EE8">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6、按照监测项目内容要求，及时提交检测结果报告。报告内容应包括但不限于：各检测项目的化验分析数据列表、监测结果分析与环境改善建议等。</w:t>
      </w:r>
    </w:p>
    <w:p w14:paraId="42E85275">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第二条</w:t>
      </w:r>
      <w:r>
        <w:rPr>
          <w:rFonts w:hint="default" w:ascii="Times New Roman" w:hAnsi="Times New Roman" w:eastAsia="宋体" w:cs="Times New Roman"/>
          <w:sz w:val="21"/>
          <w:szCs w:val="21"/>
          <w:lang w:eastAsia="zh-CN"/>
        </w:rPr>
        <w:t xml:space="preserve"> 乙方按照下列要求进行本合同项目的技术咨询工作：</w:t>
      </w:r>
    </w:p>
    <w:p w14:paraId="6BB1AE00">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技术服务及咨询地点：</w:t>
      </w:r>
      <w:r>
        <w:rPr>
          <w:rFonts w:hint="default" w:ascii="Times New Roman" w:hAnsi="Times New Roman" w:eastAsia="宋体" w:cs="Times New Roman"/>
          <w:sz w:val="21"/>
          <w:szCs w:val="21"/>
          <w:u w:val="single"/>
          <w:lang w:eastAsia="zh-CN"/>
        </w:rPr>
        <w:t xml:space="preserve"> 甲方现场指定地点</w:t>
      </w:r>
      <w:r>
        <w:rPr>
          <w:rFonts w:hint="default" w:ascii="Times New Roman" w:hAnsi="Times New Roman" w:eastAsia="宋体" w:cs="Times New Roman"/>
          <w:sz w:val="21"/>
          <w:szCs w:val="21"/>
          <w:lang w:eastAsia="zh-CN"/>
        </w:rPr>
        <w:t xml:space="preserve">。  </w:t>
      </w:r>
    </w:p>
    <w:p w14:paraId="173A131F">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2. 技术服务及咨询期限：跟踪监测报告书，要求包含监测结果的总体评价结论+检测报告的形式</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取样后45天内出报告。</w:t>
      </w:r>
      <w:r>
        <w:rPr>
          <w:rFonts w:hint="default" w:ascii="Times New Roman" w:hAnsi="Times New Roman" w:eastAsia="宋体" w:cs="Times New Roman"/>
          <w:sz w:val="21"/>
          <w:szCs w:val="21"/>
        </w:rPr>
        <w:t xml:space="preserve">                  </w:t>
      </w:r>
    </w:p>
    <w:p w14:paraId="171423F3">
      <w:pPr>
        <w:keepNext w:val="0"/>
        <w:keepLines w:val="0"/>
        <w:pageBreakBefore w:val="0"/>
        <w:kinsoku/>
        <w:wordWrap/>
        <w:overflowPunct/>
        <w:topLinePunct w:val="0"/>
        <w:bidi w:val="0"/>
        <w:snapToGrid/>
        <w:spacing w:line="360" w:lineRule="auto"/>
        <w:ind w:left="240" w:right="0" w:rightChars="0" w:hanging="210" w:hanging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技术服务及咨询进度：</w:t>
      </w:r>
    </w:p>
    <w:p w14:paraId="4BB4DC6E">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第三条</w:t>
      </w:r>
      <w:r>
        <w:rPr>
          <w:rFonts w:hint="default" w:ascii="Times New Roman" w:hAnsi="Times New Roman" w:eastAsia="宋体" w:cs="Times New Roman"/>
          <w:sz w:val="21"/>
          <w:szCs w:val="21"/>
          <w:lang w:eastAsia="zh-CN"/>
        </w:rPr>
        <w:t xml:space="preserve"> 甲方向乙方支付技术服务及咨询报酬及支付方式为：</w:t>
      </w:r>
    </w:p>
    <w:p w14:paraId="0CF4FA6C">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1.本合同的服务费为：人民币          元整(含税,以下同，大写                  元整）。</w:t>
      </w:r>
    </w:p>
    <w:p w14:paraId="1155C556">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2.具体支付方式如下：</w:t>
      </w:r>
    </w:p>
    <w:p w14:paraId="504AE8E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yellow"/>
        </w:rPr>
      </w:pPr>
      <w:r>
        <w:rPr>
          <w:rFonts w:hint="default" w:ascii="Times New Roman" w:hAnsi="Times New Roman" w:eastAsia="宋体" w:cs="Times New Roman"/>
          <w:snapToGrid w:val="0"/>
          <w:color w:val="auto"/>
          <w:sz w:val="21"/>
          <w:szCs w:val="21"/>
          <w:lang w:val="en-US" w:eastAsia="zh-CN" w:bidi="ar-SA"/>
        </w:rPr>
        <w:t>乙方应完成PTA废水处理生化污泥 和TA废料检测</w:t>
      </w:r>
      <w:r>
        <w:rPr>
          <w:rFonts w:hint="default" w:ascii="Times New Roman" w:hAnsi="Times New Roman" w:eastAsia="宋体" w:cs="Times New Roman"/>
          <w:color w:val="auto"/>
          <w:sz w:val="21"/>
          <w:szCs w:val="21"/>
        </w:rPr>
        <w:t>后，乙方应</w:t>
      </w:r>
      <w:r>
        <w:rPr>
          <w:rFonts w:hint="default" w:ascii="Times New Roman" w:hAnsi="Times New Roman" w:eastAsia="宋体" w:cs="Times New Roman"/>
          <w:sz w:val="21"/>
          <w:szCs w:val="21"/>
        </w:rPr>
        <w:t>提供等额的</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增值税专用发票后60日内，甲方支付服务及咨询总额的 100 %，计人民币              元整（                元整）。</w:t>
      </w:r>
    </w:p>
    <w:p w14:paraId="393A357C">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第四条</w:t>
      </w:r>
      <w:r>
        <w:rPr>
          <w:rFonts w:hint="default" w:ascii="Times New Roman" w:hAnsi="Times New Roman" w:eastAsia="宋体" w:cs="Times New Roman"/>
          <w:sz w:val="21"/>
          <w:szCs w:val="21"/>
          <w:lang w:eastAsia="zh-CN"/>
        </w:rPr>
        <w:t xml:space="preserve"> 双方确定因履行本合同应遵守的保密义务如下：</w:t>
      </w:r>
    </w:p>
    <w:p w14:paraId="5FE3C00E">
      <w:pPr>
        <w:pStyle w:val="77"/>
        <w:keepNext w:val="0"/>
        <w:keepLines w:val="0"/>
        <w:pageBreakBefore w:val="0"/>
        <w:kinsoku/>
        <w:wordWrap/>
        <w:overflowPunct/>
        <w:topLinePunct w:val="0"/>
        <w:bidi w:val="0"/>
        <w:snapToGrid/>
        <w:spacing w:line="360" w:lineRule="auto"/>
        <w:ind w:right="0" w:rightChars="0" w:firstLine="420" w:firstLineChars="20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1. 双方都有义务尊重对方知识产权和资料信息的保密性，双方均应约束其参与项目的雇员遵守保密义务、尊重商业道德。任何第三方要获得该项目的任何信息，均需获得双方的书面授权。（若有必要双方签订保密协议）</w:t>
      </w:r>
    </w:p>
    <w:p w14:paraId="3BD212BC">
      <w:pPr>
        <w:pStyle w:val="77"/>
        <w:keepNext w:val="0"/>
        <w:keepLines w:val="0"/>
        <w:pageBreakBefore w:val="0"/>
        <w:kinsoku/>
        <w:wordWrap/>
        <w:overflowPunct/>
        <w:topLinePunct w:val="0"/>
        <w:bidi w:val="0"/>
        <w:snapToGrid/>
        <w:spacing w:line="360" w:lineRule="auto"/>
        <w:ind w:left="317" w:right="0" w:rightChars="0" w:hanging="277" w:hangingChars="132"/>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2. 双方对本方案内容及执行过程中涉及的合作方式、工作思路、服务报价、合同金额以及其它技术或商业信息负有保密的责任，任何一方未经对方书面许可不得将上述内容泄露给任何第三方。</w:t>
      </w:r>
    </w:p>
    <w:p w14:paraId="00368399">
      <w:pPr>
        <w:pStyle w:val="24"/>
        <w:keepNext w:val="0"/>
        <w:keepLines w:val="0"/>
        <w:pageBreakBefore w:val="0"/>
        <w:kinsoku/>
        <w:wordWrap/>
        <w:overflowPunct/>
        <w:topLinePunct w:val="0"/>
        <w:bidi w:val="0"/>
        <w:snapToGrid/>
        <w:spacing w:line="360" w:lineRule="auto"/>
        <w:ind w:left="-238" w:leftChars="-108" w:right="0" w:rightChars="0"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napToGrid w:val="0"/>
          <w:sz w:val="21"/>
          <w:szCs w:val="21"/>
          <w:lang w:eastAsia="zh-CN"/>
        </w:rPr>
        <w:t xml:space="preserve">3. </w:t>
      </w:r>
      <w:r>
        <w:rPr>
          <w:rFonts w:hint="default" w:ascii="Times New Roman" w:hAnsi="Times New Roman" w:eastAsia="宋体" w:cs="Times New Roman"/>
          <w:sz w:val="21"/>
          <w:szCs w:val="21"/>
          <w:lang w:eastAsia="zh-CN"/>
        </w:rPr>
        <w:t>泄密责任：按本合同约定及国家有关保密法的规定执行 。</w:t>
      </w:r>
    </w:p>
    <w:p w14:paraId="5D1D977A">
      <w:pPr>
        <w:pStyle w:val="24"/>
        <w:keepNext w:val="0"/>
        <w:keepLines w:val="0"/>
        <w:pageBreakBefore w:val="0"/>
        <w:kinsoku/>
        <w:wordWrap/>
        <w:overflowPunct/>
        <w:topLinePunct w:val="0"/>
        <w:bidi w:val="0"/>
        <w:snapToGrid/>
        <w:spacing w:line="360" w:lineRule="auto"/>
        <w:ind w:left="482" w:right="0" w:rightChars="0" w:hanging="422" w:hanging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第五条</w:t>
      </w:r>
      <w:r>
        <w:rPr>
          <w:rFonts w:hint="default" w:ascii="Times New Roman" w:hAnsi="Times New Roman" w:eastAsia="宋体" w:cs="Times New Roman"/>
          <w:sz w:val="21"/>
          <w:szCs w:val="21"/>
          <w:lang w:eastAsia="zh-CN"/>
        </w:rPr>
        <w:t xml:space="preserve"> 本合同的变更必须由双方协商一致，并以书面形式确定。甲方可以向乙方或乙方可以向甲方提出变更合同权利和义务的请求，另一方应当在</w:t>
      </w:r>
      <w:r>
        <w:rPr>
          <w:rFonts w:hint="default" w:ascii="Times New Roman" w:hAnsi="Times New Roman" w:eastAsia="宋体" w:cs="Times New Roman"/>
          <w:sz w:val="21"/>
          <w:szCs w:val="21"/>
          <w:u w:val="single"/>
          <w:lang w:eastAsia="zh-CN"/>
        </w:rPr>
        <w:t xml:space="preserve"> 7 </w:t>
      </w:r>
      <w:r>
        <w:rPr>
          <w:rFonts w:hint="default" w:ascii="Times New Roman" w:hAnsi="Times New Roman" w:eastAsia="宋体" w:cs="Times New Roman"/>
          <w:sz w:val="21"/>
          <w:szCs w:val="21"/>
          <w:lang w:eastAsia="zh-CN"/>
        </w:rPr>
        <w:t>日内予以答复。</w:t>
      </w:r>
    </w:p>
    <w:p w14:paraId="205F159E">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第六条</w:t>
      </w:r>
      <w:r>
        <w:rPr>
          <w:rFonts w:hint="default" w:ascii="Times New Roman" w:hAnsi="Times New Roman" w:eastAsia="宋体" w:cs="Times New Roman"/>
          <w:sz w:val="21"/>
          <w:szCs w:val="21"/>
          <w:lang w:eastAsia="zh-CN"/>
        </w:rPr>
        <w:t xml:space="preserve"> 双方确定，按以下标准和方式对乙方提交的技术咨询工作成果进行验收：</w:t>
      </w:r>
    </w:p>
    <w:p w14:paraId="42F78E99">
      <w:pPr>
        <w:pStyle w:val="24"/>
        <w:keepNext w:val="0"/>
        <w:keepLines w:val="0"/>
        <w:pageBreakBefore w:val="0"/>
        <w:kinsoku/>
        <w:wordWrap/>
        <w:overflowPunct/>
        <w:topLinePunct w:val="0"/>
        <w:bidi w:val="0"/>
        <w:snapToGrid/>
        <w:spacing w:beforeLines="50" w:line="360" w:lineRule="auto"/>
        <w:ind w:right="0" w:rightChars="0"/>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报告成果含纸质版一式6份，</w:t>
      </w:r>
      <w:r>
        <w:rPr>
          <w:rFonts w:hint="eastAsia" w:ascii="Times New Roman" w:hAnsi="Times New Roman" w:cs="Times New Roman"/>
          <w:b w:val="0"/>
          <w:bCs/>
          <w:sz w:val="21"/>
          <w:szCs w:val="21"/>
          <w:lang w:val="en-US" w:eastAsia="zh-CN"/>
        </w:rPr>
        <w:t>U盘</w:t>
      </w:r>
      <w:r>
        <w:rPr>
          <w:rFonts w:hint="default" w:ascii="Times New Roman" w:hAnsi="Times New Roman" w:eastAsia="宋体" w:cs="Times New Roman"/>
          <w:b w:val="0"/>
          <w:bCs/>
          <w:sz w:val="21"/>
          <w:szCs w:val="21"/>
          <w:lang w:eastAsia="zh-CN"/>
        </w:rPr>
        <w:t>（含WORD、PDF格式）。</w:t>
      </w:r>
    </w:p>
    <w:p w14:paraId="40506FB5">
      <w:pPr>
        <w:pStyle w:val="24"/>
        <w:keepNext w:val="0"/>
        <w:keepLines w:val="0"/>
        <w:pageBreakBefore w:val="0"/>
        <w:kinsoku/>
        <w:wordWrap/>
        <w:overflowPunct/>
        <w:topLinePunct w:val="0"/>
        <w:bidi w:val="0"/>
        <w:snapToGrid/>
        <w:spacing w:beforeLines="50"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第七条</w:t>
      </w:r>
      <w:r>
        <w:rPr>
          <w:rFonts w:hint="default" w:ascii="Times New Roman" w:hAnsi="Times New Roman" w:eastAsia="宋体" w:cs="Times New Roman"/>
          <w:sz w:val="21"/>
          <w:szCs w:val="21"/>
          <w:lang w:eastAsia="zh-CN"/>
        </w:rPr>
        <w:t xml:space="preserve"> 双方确定，甲方指定  </w:t>
      </w:r>
      <w:r>
        <w:rPr>
          <w:rFonts w:hint="eastAsia" w:ascii="Times New Roman" w:hAnsi="Times New Roman" w:cs="Times New Roman"/>
          <w:sz w:val="21"/>
          <w:szCs w:val="21"/>
          <w:u w:val="single"/>
          <w:lang w:eastAsia="zh-CN"/>
        </w:rPr>
        <w:t>陈海伟</w:t>
      </w:r>
      <w:r>
        <w:rPr>
          <w:rFonts w:hint="default" w:ascii="Times New Roman" w:hAnsi="Times New Roman" w:eastAsia="宋体" w:cs="Times New Roman"/>
          <w:bCs/>
          <w:sz w:val="21"/>
          <w:szCs w:val="21"/>
          <w:highlight w:val="none"/>
          <w:u w:val="single"/>
          <w:lang w:eastAsia="zh-CN"/>
        </w:rPr>
        <w:t xml:space="preserve">  电话：13616007156  邮箱：</w:t>
      </w:r>
      <w:r>
        <w:rPr>
          <w:rFonts w:hint="eastAsia" w:ascii="Times New Roman" w:hAnsi="Times New Roman" w:cs="Times New Roman"/>
          <w:sz w:val="24"/>
          <w:szCs w:val="24"/>
          <w:highlight w:val="none"/>
          <w:u w:val="single"/>
          <w:lang w:val="en-US" w:eastAsia="zh-CN"/>
        </w:rPr>
        <w:t>hwcheng</w:t>
      </w:r>
      <w:r>
        <w:rPr>
          <w:rFonts w:ascii="Times New Roman" w:hAnsi="Times New Roman" w:cs="Times New Roman"/>
          <w:bCs/>
          <w:sz w:val="24"/>
          <w:szCs w:val="24"/>
          <w:highlight w:val="none"/>
          <w:u w:val="single"/>
          <w:lang w:eastAsia="zh-CN"/>
        </w:rPr>
        <w:t>@fhcpec.com.cn</w:t>
      </w:r>
      <w:r>
        <w:rPr>
          <w:rFonts w:hint="eastAsia" w:ascii="Times New Roman" w:hAnsi="Times New Roman" w:cs="Times New Roman"/>
          <w:bCs/>
          <w:sz w:val="21"/>
          <w:szCs w:val="21"/>
          <w:highlight w:val="none"/>
          <w:u w:val="single"/>
          <w:lang w:val="en-US" w:eastAsia="zh-CN"/>
        </w:rPr>
        <w:t xml:space="preserve"> </w:t>
      </w:r>
      <w:r>
        <w:rPr>
          <w:rFonts w:hint="default" w:ascii="Times New Roman" w:hAnsi="Times New Roman" w:eastAsia="宋体" w:cs="Times New Roman"/>
          <w:sz w:val="21"/>
          <w:szCs w:val="21"/>
          <w:lang w:eastAsia="zh-CN"/>
        </w:rPr>
        <w:t>为甲方项目联系人，乙方指定</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bCs/>
          <w:sz w:val="21"/>
          <w:szCs w:val="21"/>
          <w:u w:val="single"/>
          <w:lang w:eastAsia="zh-CN"/>
        </w:rPr>
        <w:t xml:space="preserve">邮箱：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为乙方项目联系人。项目联系人承担以下责任：</w:t>
      </w:r>
    </w:p>
    <w:p w14:paraId="1C275D41">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1. 联系具体项目进度并实施。 </w:t>
      </w:r>
    </w:p>
    <w:p w14:paraId="010DEAB0">
      <w:pPr>
        <w:pStyle w:val="24"/>
        <w:keepNext w:val="0"/>
        <w:keepLines w:val="0"/>
        <w:pageBreakBefore w:val="0"/>
        <w:kinsoku/>
        <w:wordWrap/>
        <w:overflowPunct/>
        <w:topLinePunct w:val="0"/>
        <w:bidi w:val="0"/>
        <w:snapToGrid/>
        <w:spacing w:line="360" w:lineRule="auto"/>
        <w:ind w:left="240" w:right="0" w:rightChars="0" w:hanging="210" w:hanging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2.一方变更项目联系人的，应当及时以书面形式通知另一方。未及时通知并影响本合同履行或造成损失的，应承担相应的责任。</w:t>
      </w:r>
    </w:p>
    <w:p w14:paraId="675621D8">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第八条</w:t>
      </w:r>
      <w:r>
        <w:rPr>
          <w:rFonts w:hint="default" w:ascii="Times New Roman" w:hAnsi="Times New Roman" w:eastAsia="宋体" w:cs="Times New Roman"/>
          <w:sz w:val="21"/>
          <w:szCs w:val="21"/>
          <w:lang w:eastAsia="zh-CN"/>
        </w:rPr>
        <w:t xml:space="preserve"> 甲乙双方的责任和义务</w:t>
      </w:r>
    </w:p>
    <w:p w14:paraId="71449485">
      <w:pPr>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color w:val="000000"/>
          <w:sz w:val="21"/>
          <w:szCs w:val="21"/>
          <w:lang w:eastAsia="zh-CN"/>
        </w:rPr>
        <w:t>1. 乙方如若逾期完成，每日应向甲方支付违约金为合同价格的 1 %，逾期超过</w:t>
      </w:r>
      <w:r>
        <w:rPr>
          <w:rFonts w:hint="default" w:ascii="Times New Roman" w:hAnsi="Times New Roman" w:eastAsia="宋体" w:cs="Times New Roman"/>
          <w:bCs/>
          <w:sz w:val="21"/>
          <w:szCs w:val="21"/>
          <w:u w:val="single"/>
          <w:lang w:eastAsia="zh-CN"/>
        </w:rPr>
        <w:t xml:space="preserve"> 三 </w:t>
      </w:r>
      <w:r>
        <w:rPr>
          <w:rStyle w:val="82"/>
          <w:rFonts w:hint="default" w:ascii="Times New Roman" w:hAnsi="Times New Roman" w:eastAsia="宋体" w:cs="Times New Roman"/>
          <w:bCs/>
          <w:color w:val="000000"/>
          <w:sz w:val="21"/>
          <w:szCs w:val="21"/>
          <w:lang w:eastAsia="zh-CN"/>
        </w:rPr>
        <w:t>日的，甲方还有权解除本合同并要求乙方退还已经收取的费用及占用期间利息，乙方还需支付甲方合同总</w:t>
      </w:r>
      <w:r>
        <w:rPr>
          <w:rStyle w:val="82"/>
          <w:rFonts w:hint="default" w:ascii="Times New Roman" w:hAnsi="Times New Roman" w:eastAsia="宋体" w:cs="Times New Roman"/>
          <w:bCs/>
          <w:sz w:val="21"/>
          <w:szCs w:val="21"/>
          <w:lang w:eastAsia="zh-CN"/>
        </w:rPr>
        <w:t>额 5 %的违约金。</w:t>
      </w:r>
    </w:p>
    <w:p w14:paraId="0A8CCC97">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2. 乙方提交的服务咨询报告不符合合同约定的，应在甲方指定期限内修改完善直至符合合同约定为止，由此造成逾期提交的，按照第1款约定执行。</w:t>
      </w:r>
    </w:p>
    <w:p w14:paraId="16553D62">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3. 任何一方违反保密义务的，应向对方支付违约金人民币</w:t>
      </w:r>
      <w:r>
        <w:rPr>
          <w:rFonts w:hint="default" w:ascii="Times New Roman" w:hAnsi="Times New Roman" w:eastAsia="宋体" w:cs="Times New Roman"/>
          <w:bCs/>
          <w:sz w:val="21"/>
          <w:szCs w:val="21"/>
          <w:u w:val="single"/>
          <w:lang w:eastAsia="zh-CN"/>
        </w:rPr>
        <w:t xml:space="preserve"> 壹万 </w:t>
      </w:r>
      <w:r>
        <w:rPr>
          <w:rStyle w:val="82"/>
          <w:rFonts w:hint="default" w:ascii="Times New Roman" w:hAnsi="Times New Roman" w:eastAsia="宋体" w:cs="Times New Roman"/>
          <w:bCs/>
          <w:sz w:val="21"/>
          <w:szCs w:val="21"/>
          <w:lang w:eastAsia="zh-CN"/>
        </w:rPr>
        <w:t>元；并赔偿由此给对方造成的损失。</w:t>
      </w:r>
    </w:p>
    <w:p w14:paraId="0B58C6E3">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4. 任何一方无正当理由单方解除合同的，应向对方支付合同总额5%的违约金，并赔偿对方的损失。</w:t>
      </w:r>
    </w:p>
    <w:p w14:paraId="1DC4DE64">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5. 若乙方在履行合同过程中存在弄虚作假的情形，甲方有权单方解除合同，乙方应退还已收取的费用及占用期间利息，并支付甲方合同总额5%的违约金。</w:t>
      </w:r>
    </w:p>
    <w:p w14:paraId="2F9B95CE">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color w:val="000000"/>
          <w:sz w:val="21"/>
          <w:szCs w:val="21"/>
          <w:lang w:eastAsia="zh-CN"/>
        </w:rPr>
      </w:pPr>
      <w:r>
        <w:rPr>
          <w:rStyle w:val="82"/>
          <w:rFonts w:hint="default" w:ascii="Times New Roman" w:hAnsi="Times New Roman" w:eastAsia="宋体" w:cs="Times New Roman"/>
          <w:bCs/>
          <w:sz w:val="21"/>
          <w:szCs w:val="21"/>
          <w:lang w:eastAsia="zh-CN"/>
        </w:rPr>
        <w:t>6. 乙方进入甲方现场服务期间，因不可归责于甲方的原因造成甲方、</w:t>
      </w:r>
      <w:r>
        <w:rPr>
          <w:rStyle w:val="82"/>
          <w:rFonts w:hint="default" w:ascii="Times New Roman" w:hAnsi="Times New Roman" w:eastAsia="宋体" w:cs="Times New Roman"/>
          <w:bCs/>
          <w:color w:val="000000"/>
          <w:sz w:val="21"/>
          <w:szCs w:val="21"/>
          <w:lang w:eastAsia="zh-CN"/>
        </w:rPr>
        <w:t>乙方或任何第三方人身财产损失的，由乙方承担全部责任。</w:t>
      </w:r>
    </w:p>
    <w:p w14:paraId="335FA564">
      <w:pPr>
        <w:pStyle w:val="24"/>
        <w:keepNext w:val="0"/>
        <w:keepLines w:val="0"/>
        <w:pageBreakBefore w:val="0"/>
        <w:kinsoku/>
        <w:wordWrap/>
        <w:overflowPunct/>
        <w:topLinePunct w:val="0"/>
        <w:bidi w:val="0"/>
        <w:snapToGrid/>
        <w:spacing w:line="360" w:lineRule="auto"/>
        <w:ind w:left="274" w:right="0" w:rightChars="0" w:hanging="239" w:hangingChars="114"/>
        <w:rPr>
          <w:rStyle w:val="82"/>
          <w:rFonts w:hint="default" w:ascii="Times New Roman" w:hAnsi="Times New Roman" w:eastAsia="宋体" w:cs="Times New Roman"/>
          <w:bCs/>
          <w:color w:val="000000"/>
          <w:sz w:val="21"/>
          <w:szCs w:val="21"/>
          <w:lang w:eastAsia="zh-CN"/>
        </w:rPr>
      </w:pPr>
      <w:r>
        <w:rPr>
          <w:rStyle w:val="82"/>
          <w:rFonts w:hint="default" w:ascii="Times New Roman" w:hAnsi="Times New Roman" w:eastAsia="宋体" w:cs="Times New Roman"/>
          <w:bCs/>
          <w:color w:val="000000"/>
          <w:sz w:val="21"/>
          <w:szCs w:val="21"/>
          <w:lang w:eastAsia="zh-CN"/>
        </w:rPr>
        <w:t>7. 甲方已就本合同项下涉及乙方重大利害关系的条款向乙方作出详细说明，乙方充分理解上述条款含义，并自愿签订本合同。</w:t>
      </w:r>
    </w:p>
    <w:p w14:paraId="696009F2">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8. 甲方</w:t>
      </w:r>
      <w:r>
        <w:rPr>
          <w:rFonts w:hint="default" w:ascii="Times New Roman" w:hAnsi="Times New Roman" w:eastAsia="宋体" w:cs="Times New Roman"/>
          <w:snapToGrid w:val="0"/>
          <w:color w:val="auto"/>
          <w:sz w:val="21"/>
          <w:szCs w:val="21"/>
        </w:rPr>
        <w:t>提供与报告编制相关的工艺技术资料、应急组织架构、环境影响评价等资料，作为报告编写参考使用；</w:t>
      </w:r>
    </w:p>
    <w:p w14:paraId="040108A0">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9.甲方</w:t>
      </w:r>
      <w:r>
        <w:rPr>
          <w:rFonts w:hint="default" w:ascii="Times New Roman" w:hAnsi="Times New Roman" w:eastAsia="宋体" w:cs="Times New Roman"/>
          <w:snapToGrid w:val="0"/>
          <w:color w:val="auto"/>
          <w:sz w:val="21"/>
          <w:szCs w:val="21"/>
        </w:rPr>
        <w:t>协助</w:t>
      </w:r>
      <w:r>
        <w:rPr>
          <w:rFonts w:hint="default" w:ascii="Times New Roman" w:hAnsi="Times New Roman" w:eastAsia="宋体" w:cs="Times New Roman"/>
          <w:snapToGrid w:val="0"/>
          <w:color w:val="auto"/>
          <w:sz w:val="21"/>
          <w:szCs w:val="21"/>
          <w:lang w:val="en-US" w:eastAsia="zh-CN"/>
        </w:rPr>
        <w:t>乙方</w:t>
      </w:r>
      <w:r>
        <w:rPr>
          <w:rFonts w:hint="default" w:ascii="Times New Roman" w:hAnsi="Times New Roman" w:eastAsia="宋体" w:cs="Times New Roman"/>
          <w:snapToGrid w:val="0"/>
          <w:color w:val="auto"/>
          <w:sz w:val="21"/>
          <w:szCs w:val="21"/>
        </w:rPr>
        <w:t>办理进厂相关手续，保证现场勘察工作的实施；</w:t>
      </w:r>
    </w:p>
    <w:p w14:paraId="08E7D8BA">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10.甲方</w:t>
      </w:r>
      <w:r>
        <w:rPr>
          <w:rFonts w:hint="default" w:ascii="Times New Roman" w:hAnsi="Times New Roman" w:eastAsia="宋体" w:cs="Times New Roman"/>
          <w:snapToGrid w:val="0"/>
          <w:color w:val="auto"/>
          <w:sz w:val="21"/>
          <w:szCs w:val="21"/>
        </w:rPr>
        <w:t>协助与当地的生态环境部门沟通，联络当地生态环境部门参加预案报告的专家评审，并安排本项目联络专员，便于项目沟通实施。</w:t>
      </w:r>
    </w:p>
    <w:p w14:paraId="75D817FC">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11.乙方</w:t>
      </w:r>
      <w:r>
        <w:rPr>
          <w:rFonts w:hint="default" w:ascii="Times New Roman" w:hAnsi="Times New Roman" w:eastAsia="宋体" w:cs="Times New Roman"/>
          <w:snapToGrid w:val="0"/>
          <w:color w:val="auto"/>
          <w:sz w:val="21"/>
          <w:szCs w:val="21"/>
        </w:rPr>
        <w:t>提供具有从事预案编制能力的相关证明、业绩；</w:t>
      </w:r>
    </w:p>
    <w:p w14:paraId="3E1106DF">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12.乙方</w:t>
      </w:r>
      <w:r>
        <w:rPr>
          <w:rFonts w:hint="default" w:ascii="Times New Roman" w:hAnsi="Times New Roman" w:eastAsia="宋体" w:cs="Times New Roman"/>
          <w:snapToGrid w:val="0"/>
          <w:color w:val="auto"/>
          <w:sz w:val="21"/>
          <w:szCs w:val="21"/>
        </w:rPr>
        <w:t>根据《石油化工企业环境应急预案编制指南》等规范要求，开展指南中要求的相关调查，负责编写应急预案报告，并包括报告的全部附件内容，如环境风险评估报告、现场处置预案、各单项预案（如地下水等）等所需的全部内容；</w:t>
      </w:r>
    </w:p>
    <w:p w14:paraId="2E210BE0">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13.乙方</w:t>
      </w:r>
      <w:r>
        <w:rPr>
          <w:rFonts w:hint="default" w:ascii="Times New Roman" w:hAnsi="Times New Roman" w:eastAsia="宋体" w:cs="Times New Roman"/>
          <w:snapToGrid w:val="0"/>
          <w:color w:val="auto"/>
          <w:sz w:val="21"/>
          <w:szCs w:val="21"/>
        </w:rPr>
        <w:t>承担项目全部过程涉及的全部费用，包含人工费、材料费、监测费、专家论证会务及专家费（含住宿、餐饮等）、邮寄等。</w:t>
      </w:r>
    </w:p>
    <w:p w14:paraId="13A8CEAA">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14.乙方</w:t>
      </w:r>
      <w:r>
        <w:rPr>
          <w:rFonts w:hint="default" w:ascii="Times New Roman" w:hAnsi="Times New Roman" w:eastAsia="宋体" w:cs="Times New Roman"/>
          <w:snapToGrid w:val="0"/>
          <w:color w:val="auto"/>
          <w:sz w:val="21"/>
          <w:szCs w:val="21"/>
        </w:rPr>
        <w:t>报告书交货方式，由承揽商通过邮寄等方式提交招标方，交货地点为发包方企业所在地</w:t>
      </w:r>
    </w:p>
    <w:p w14:paraId="417CDEC9">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15.</w:t>
      </w:r>
      <w:r>
        <w:rPr>
          <w:rFonts w:hint="default" w:ascii="Times New Roman" w:hAnsi="Times New Roman" w:eastAsia="宋体" w:cs="Times New Roman"/>
          <w:snapToGrid w:val="0"/>
          <w:color w:val="auto"/>
          <w:sz w:val="21"/>
          <w:szCs w:val="21"/>
        </w:rPr>
        <w:t>送审版预案报告数量满足专家评审会即可，报批版提供不少于</w:t>
      </w:r>
      <w:r>
        <w:rPr>
          <w:rFonts w:hint="default" w:ascii="Times New Roman" w:hAnsi="Times New Roman" w:eastAsia="宋体" w:cs="Times New Roman"/>
          <w:snapToGrid w:val="0"/>
          <w:color w:val="auto"/>
          <w:sz w:val="21"/>
          <w:szCs w:val="21"/>
          <w:lang w:val="en-US" w:eastAsia="zh-CN"/>
        </w:rPr>
        <w:t>10</w:t>
      </w:r>
      <w:r>
        <w:rPr>
          <w:rFonts w:hint="default" w:ascii="Times New Roman" w:hAnsi="Times New Roman" w:eastAsia="宋体" w:cs="Times New Roman"/>
          <w:snapToGrid w:val="0"/>
          <w:color w:val="auto"/>
          <w:sz w:val="21"/>
          <w:szCs w:val="21"/>
        </w:rPr>
        <w:t>本纸制档文本及光盘形式电子档3张；</w:t>
      </w:r>
    </w:p>
    <w:p w14:paraId="13167ACE">
      <w:pPr>
        <w:pStyle w:val="77"/>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 xml:space="preserve">16. </w:t>
      </w:r>
      <w:r>
        <w:rPr>
          <w:rFonts w:hint="default" w:ascii="Times New Roman" w:hAnsi="Times New Roman" w:eastAsia="宋体" w:cs="Times New Roman"/>
          <w:snapToGrid w:val="0"/>
          <w:color w:val="auto"/>
          <w:sz w:val="21"/>
          <w:szCs w:val="21"/>
        </w:rPr>
        <w:t>在</w:t>
      </w:r>
      <w:r>
        <w:rPr>
          <w:rFonts w:hint="default" w:ascii="Times New Roman" w:hAnsi="Times New Roman" w:eastAsia="宋体" w:cs="Times New Roman"/>
          <w:snapToGrid w:val="0"/>
          <w:color w:val="auto"/>
          <w:sz w:val="21"/>
          <w:szCs w:val="21"/>
          <w:lang w:val="en-US" w:eastAsia="zh-CN"/>
        </w:rPr>
        <w:t>甲方</w:t>
      </w:r>
      <w:r>
        <w:rPr>
          <w:rFonts w:hint="default" w:ascii="Times New Roman" w:hAnsi="Times New Roman" w:eastAsia="宋体" w:cs="Times New Roman"/>
          <w:snapToGrid w:val="0"/>
          <w:color w:val="auto"/>
          <w:sz w:val="21"/>
          <w:szCs w:val="21"/>
        </w:rPr>
        <w:t>工厂内技术交流或是勘察时，应遵守相关安全管理规定。</w:t>
      </w:r>
    </w:p>
    <w:p w14:paraId="25E11148">
      <w:pPr>
        <w:pStyle w:val="24"/>
        <w:keepNext w:val="0"/>
        <w:keepLines w:val="0"/>
        <w:pageBreakBefore w:val="0"/>
        <w:kinsoku/>
        <w:wordWrap/>
        <w:overflowPunct/>
        <w:topLinePunct w:val="0"/>
        <w:bidi w:val="0"/>
        <w:snapToGrid/>
        <w:spacing w:beforeLines="50" w:line="360" w:lineRule="auto"/>
        <w:ind w:right="0" w:right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 xml:space="preserve">第九条 </w:t>
      </w:r>
      <w:r>
        <w:rPr>
          <w:rFonts w:hint="default" w:ascii="Times New Roman" w:hAnsi="Times New Roman" w:eastAsia="宋体" w:cs="Times New Roman"/>
          <w:sz w:val="21"/>
          <w:szCs w:val="21"/>
          <w:lang w:eastAsia="zh-CN"/>
        </w:rPr>
        <w:t xml:space="preserve"> 双方因履行本合同而发生的争议，可协商、调解解决，也可直接向甲方所在地人民法院提起诉讼。</w:t>
      </w:r>
    </w:p>
    <w:p w14:paraId="1FA50582">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第十条 其他</w:t>
      </w:r>
    </w:p>
    <w:p w14:paraId="444ED101">
      <w:pPr>
        <w:pStyle w:val="24"/>
        <w:keepNext w:val="0"/>
        <w:keepLines w:val="0"/>
        <w:pageBreakBefore w:val="0"/>
        <w:kinsoku/>
        <w:wordWrap/>
        <w:overflowPunct/>
        <w:topLinePunct w:val="0"/>
        <w:bidi w:val="0"/>
        <w:snapToGrid/>
        <w:spacing w:line="360" w:lineRule="auto"/>
        <w:ind w:left="211" w:leftChars="9" w:right="0" w:rightChars="0" w:hanging="191" w:hangingChars="91"/>
        <w:rPr>
          <w:rStyle w:val="82"/>
          <w:rFonts w:hint="default" w:ascii="Times New Roman" w:hAnsi="Times New Roman" w:eastAsia="宋体" w:cs="Times New Roman"/>
          <w:color w:val="000000"/>
          <w:sz w:val="21"/>
          <w:szCs w:val="21"/>
          <w:lang w:eastAsia="zh-CN"/>
        </w:rPr>
      </w:pPr>
      <w:r>
        <w:rPr>
          <w:rStyle w:val="82"/>
          <w:rFonts w:hint="default" w:ascii="Times New Roman" w:hAnsi="Times New Roman" w:eastAsia="宋体" w:cs="Times New Roman"/>
          <w:color w:val="000000"/>
          <w:sz w:val="21"/>
          <w:szCs w:val="21"/>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D020D7D">
      <w:pPr>
        <w:pStyle w:val="24"/>
        <w:keepNext w:val="0"/>
        <w:keepLines w:val="0"/>
        <w:pageBreakBefore w:val="0"/>
        <w:kinsoku/>
        <w:wordWrap/>
        <w:overflowPunct/>
        <w:topLinePunct w:val="0"/>
        <w:bidi w:val="0"/>
        <w:snapToGrid/>
        <w:spacing w:line="360" w:lineRule="auto"/>
        <w:ind w:left="211" w:leftChars="9" w:right="0" w:rightChars="0" w:hanging="191" w:hangingChars="9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761A0D9">
      <w:pPr>
        <w:pStyle w:val="24"/>
        <w:keepNext w:val="0"/>
        <w:keepLines w:val="0"/>
        <w:pageBreakBefore w:val="0"/>
        <w:kinsoku/>
        <w:wordWrap/>
        <w:overflowPunct/>
        <w:topLinePunct w:val="0"/>
        <w:bidi w:val="0"/>
        <w:snapToGrid/>
        <w:spacing w:line="360" w:lineRule="auto"/>
        <w:ind w:left="211" w:leftChars="9" w:right="0" w:rightChars="0" w:hanging="191" w:hangingChars="9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Style w:val="82"/>
          <w:rFonts w:hint="default" w:ascii="Times New Roman" w:hAnsi="Times New Roman" w:eastAsia="宋体" w:cs="Times New Roman"/>
          <w:color w:val="000000"/>
          <w:sz w:val="21"/>
          <w:szCs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14:paraId="3F980C18">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第十一条</w:t>
      </w:r>
      <w:r>
        <w:rPr>
          <w:rFonts w:hint="default" w:ascii="Times New Roman" w:hAnsi="Times New Roman" w:eastAsia="宋体" w:cs="Times New Roman"/>
          <w:sz w:val="21"/>
          <w:szCs w:val="21"/>
          <w:lang w:eastAsia="zh-CN"/>
        </w:rPr>
        <w:t xml:space="preserve">  保险</w:t>
      </w:r>
    </w:p>
    <w:p w14:paraId="60C05ADF">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14:paraId="7B4C4316">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第十二条 本合同经双方盖章后生效。本合同一式</w:t>
      </w:r>
      <w:r>
        <w:rPr>
          <w:rFonts w:hint="default" w:ascii="Times New Roman" w:hAnsi="Times New Roman" w:eastAsia="宋体" w:cs="Times New Roman"/>
          <w:b/>
          <w:bCs/>
          <w:sz w:val="21"/>
          <w:szCs w:val="21"/>
          <w:u w:val="single"/>
          <w:lang w:eastAsia="zh-CN"/>
        </w:rPr>
        <w:t>伍</w:t>
      </w:r>
      <w:r>
        <w:rPr>
          <w:rFonts w:hint="default" w:ascii="Times New Roman" w:hAnsi="Times New Roman" w:eastAsia="宋体" w:cs="Times New Roman"/>
          <w:b/>
          <w:bCs/>
          <w:sz w:val="21"/>
          <w:szCs w:val="21"/>
          <w:lang w:eastAsia="zh-CN"/>
        </w:rPr>
        <w:t>份，甲方执</w:t>
      </w:r>
      <w:r>
        <w:rPr>
          <w:rFonts w:hint="default" w:ascii="Times New Roman" w:hAnsi="Times New Roman" w:eastAsia="宋体" w:cs="Times New Roman"/>
          <w:b/>
          <w:bCs/>
          <w:sz w:val="21"/>
          <w:szCs w:val="21"/>
          <w:u w:val="single"/>
          <w:lang w:eastAsia="zh-CN"/>
        </w:rPr>
        <w:t>肆</w:t>
      </w:r>
      <w:r>
        <w:rPr>
          <w:rFonts w:hint="default" w:ascii="Times New Roman" w:hAnsi="Times New Roman" w:eastAsia="宋体" w:cs="Times New Roman"/>
          <w:b/>
          <w:bCs/>
          <w:sz w:val="21"/>
          <w:szCs w:val="21"/>
          <w:lang w:eastAsia="zh-CN"/>
        </w:rPr>
        <w:t>份，乙方执</w:t>
      </w:r>
      <w:r>
        <w:rPr>
          <w:rFonts w:hint="default" w:ascii="Times New Roman" w:hAnsi="Times New Roman" w:eastAsia="宋体" w:cs="Times New Roman"/>
          <w:b/>
          <w:bCs/>
          <w:sz w:val="21"/>
          <w:szCs w:val="21"/>
          <w:u w:val="single"/>
          <w:lang w:eastAsia="zh-CN"/>
        </w:rPr>
        <w:t>壹</w:t>
      </w:r>
      <w:r>
        <w:rPr>
          <w:rFonts w:hint="default" w:ascii="Times New Roman" w:hAnsi="Times New Roman" w:eastAsia="宋体" w:cs="Times New Roman"/>
          <w:b/>
          <w:bCs/>
          <w:sz w:val="21"/>
          <w:szCs w:val="21"/>
          <w:lang w:eastAsia="zh-CN"/>
        </w:rPr>
        <w:t>份，具有同等法律效力。</w:t>
      </w:r>
    </w:p>
    <w:p w14:paraId="67B7D1C9">
      <w:pPr>
        <w:keepNext w:val="0"/>
        <w:keepLines w:val="0"/>
        <w:pageBreakBefore w:val="0"/>
        <w:tabs>
          <w:tab w:val="left" w:pos="2010"/>
        </w:tabs>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第十三条</w:t>
      </w:r>
      <w:r>
        <w:rPr>
          <w:rFonts w:hint="default" w:ascii="Times New Roman" w:hAnsi="Times New Roman" w:eastAsia="宋体" w:cs="Times New Roman"/>
          <w:sz w:val="21"/>
          <w:szCs w:val="21"/>
          <w:lang w:eastAsia="zh-CN"/>
        </w:rPr>
        <w:t xml:space="preserve"> .附件及双方往来的有效书面文件与合同共同具备法律效力。</w:t>
      </w:r>
    </w:p>
    <w:p w14:paraId="116FA4E7">
      <w:pPr>
        <w:keepNext w:val="0"/>
        <w:keepLines w:val="0"/>
        <w:pageBreakBefore w:val="0"/>
        <w:tabs>
          <w:tab w:val="left" w:pos="2010"/>
        </w:tabs>
        <w:kinsoku/>
        <w:wordWrap/>
        <w:overflowPunct/>
        <w:topLinePunct w:val="0"/>
        <w:bidi w:val="0"/>
        <w:snapToGrid/>
        <w:spacing w:line="360" w:lineRule="auto"/>
        <w:ind w:right="0" w:rightChars="0"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本合同未尽事宜，如需更改经双方协商后可另签补充协议。</w:t>
      </w:r>
    </w:p>
    <w:p w14:paraId="1CD075AC">
      <w:pPr>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highlight w:val="yellow"/>
          <w:lang w:eastAsia="zh-CN"/>
        </w:rPr>
      </w:pPr>
    </w:p>
    <w:p w14:paraId="6A3C1D03">
      <w:pPr>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以下无正文。</w:t>
      </w:r>
    </w:p>
    <w:p w14:paraId="65AC9BBC">
      <w:pPr>
        <w:pStyle w:val="58"/>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rPr>
      </w:pPr>
    </w:p>
    <w:p w14:paraId="460F0797">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p>
    <w:p w14:paraId="6069DAED">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甲方:</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翔鹭石化（漳州）有限公司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  方：（公章）</w:t>
      </w:r>
    </w:p>
    <w:p w14:paraId="04E1A8DD">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lang w:eastAsia="zh-CN"/>
        </w:rPr>
      </w:pPr>
    </w:p>
    <w:p w14:paraId="31CF547D">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  号：</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162070100100021585</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账   号：</w:t>
      </w:r>
    </w:p>
    <w:p w14:paraId="74FA73AB">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lang w:eastAsia="zh-CN"/>
        </w:rPr>
      </w:pPr>
    </w:p>
    <w:p w14:paraId="79F4727F">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开户行：</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兴业银行漳州古雷支行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14:paraId="33966C7A">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14:paraId="44F7EE4C">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年      月      日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年      月      日</w:t>
      </w:r>
    </w:p>
    <w:p w14:paraId="003D2F57">
      <w:pPr>
        <w:pStyle w:val="24"/>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lang w:eastAsia="zh-CN"/>
        </w:rPr>
      </w:pPr>
    </w:p>
    <w:p w14:paraId="70D0E09A">
      <w:pPr>
        <w:keepNext w:val="0"/>
        <w:keepLines w:val="0"/>
        <w:pageBreakBefore w:val="0"/>
        <w:kinsoku/>
        <w:wordWrap/>
        <w:overflowPunct/>
        <w:topLinePunct w:val="0"/>
        <w:bidi w:val="0"/>
        <w:snapToGrid/>
        <w:spacing w:line="360" w:lineRule="auto"/>
        <w:ind w:right="0" w:rightChars="0"/>
        <w:jc w:val="center"/>
        <w:rPr>
          <w:rFonts w:hint="default" w:ascii="Times New Roman" w:hAnsi="Times New Roman" w:eastAsia="宋体" w:cs="Times New Roman"/>
          <w:b/>
          <w:sz w:val="21"/>
          <w:szCs w:val="21"/>
          <w:lang w:eastAsia="zh-CN"/>
        </w:rPr>
      </w:pPr>
    </w:p>
    <w:p w14:paraId="1E01CB32">
      <w:pPr>
        <w:pStyle w:val="58"/>
        <w:rPr>
          <w:rFonts w:hint="default" w:ascii="Times New Roman" w:hAnsi="Times New Roman" w:eastAsia="宋体" w:cs="Times New Roman"/>
          <w:b/>
          <w:sz w:val="21"/>
          <w:szCs w:val="21"/>
          <w:lang w:eastAsia="zh-CN"/>
        </w:rPr>
      </w:pPr>
    </w:p>
    <w:p w14:paraId="77D2AE5D">
      <w:pPr>
        <w:pStyle w:val="58"/>
        <w:rPr>
          <w:rFonts w:hint="default" w:ascii="Times New Roman" w:hAnsi="Times New Roman" w:eastAsia="宋体" w:cs="Times New Roman"/>
          <w:b/>
          <w:sz w:val="21"/>
          <w:szCs w:val="21"/>
          <w:lang w:eastAsia="zh-CN"/>
        </w:rPr>
      </w:pPr>
    </w:p>
    <w:p w14:paraId="4F7A3489">
      <w:pPr>
        <w:pStyle w:val="58"/>
        <w:rPr>
          <w:rFonts w:hint="default" w:ascii="Times New Roman" w:hAnsi="Times New Roman" w:eastAsia="宋体" w:cs="Times New Roman"/>
          <w:b/>
          <w:sz w:val="21"/>
          <w:szCs w:val="21"/>
          <w:lang w:eastAsia="zh-CN"/>
        </w:rPr>
      </w:pPr>
    </w:p>
    <w:p w14:paraId="5DBA5264">
      <w:pPr>
        <w:pStyle w:val="58"/>
        <w:rPr>
          <w:rFonts w:hint="default" w:ascii="Times New Roman" w:hAnsi="Times New Roman" w:eastAsia="宋体" w:cs="Times New Roman"/>
          <w:b/>
          <w:sz w:val="21"/>
          <w:szCs w:val="21"/>
          <w:lang w:eastAsia="zh-CN"/>
        </w:rPr>
      </w:pPr>
    </w:p>
    <w:p w14:paraId="4F473B97">
      <w:pPr>
        <w:pStyle w:val="58"/>
        <w:rPr>
          <w:rFonts w:hint="default" w:ascii="Times New Roman" w:hAnsi="Times New Roman" w:eastAsia="宋体" w:cs="Times New Roman"/>
          <w:b/>
          <w:sz w:val="21"/>
          <w:szCs w:val="21"/>
          <w:lang w:eastAsia="zh-CN"/>
        </w:rPr>
      </w:pPr>
    </w:p>
    <w:p w14:paraId="2E8A9CC9">
      <w:pPr>
        <w:pStyle w:val="58"/>
        <w:rPr>
          <w:rFonts w:hint="default" w:ascii="Times New Roman" w:hAnsi="Times New Roman" w:eastAsia="宋体" w:cs="Times New Roman"/>
          <w:b/>
          <w:sz w:val="21"/>
          <w:szCs w:val="21"/>
          <w:lang w:eastAsia="zh-CN"/>
        </w:rPr>
      </w:pPr>
    </w:p>
    <w:p w14:paraId="0F97192A">
      <w:pPr>
        <w:pStyle w:val="58"/>
        <w:rPr>
          <w:rFonts w:hint="default" w:ascii="Times New Roman" w:hAnsi="Times New Roman" w:eastAsia="宋体" w:cs="Times New Roman"/>
          <w:b/>
          <w:sz w:val="21"/>
          <w:szCs w:val="21"/>
          <w:lang w:eastAsia="zh-CN"/>
        </w:rPr>
      </w:pPr>
    </w:p>
    <w:p w14:paraId="34908E07">
      <w:pPr>
        <w:pStyle w:val="58"/>
        <w:rPr>
          <w:rFonts w:hint="default" w:ascii="Times New Roman" w:hAnsi="Times New Roman" w:eastAsia="宋体" w:cs="Times New Roman"/>
          <w:b/>
          <w:sz w:val="21"/>
          <w:szCs w:val="21"/>
          <w:lang w:eastAsia="zh-CN"/>
        </w:rPr>
      </w:pPr>
    </w:p>
    <w:p w14:paraId="65EADCF9">
      <w:pPr>
        <w:pStyle w:val="58"/>
        <w:rPr>
          <w:rFonts w:hint="default" w:ascii="Times New Roman" w:hAnsi="Times New Roman" w:eastAsia="宋体" w:cs="Times New Roman"/>
          <w:b/>
          <w:sz w:val="21"/>
          <w:szCs w:val="21"/>
          <w:lang w:eastAsia="zh-CN"/>
        </w:rPr>
      </w:pPr>
    </w:p>
    <w:p w14:paraId="2A9C0EAF">
      <w:pPr>
        <w:pStyle w:val="58"/>
        <w:rPr>
          <w:rFonts w:hint="default" w:ascii="Times New Roman" w:hAnsi="Times New Roman" w:eastAsia="宋体" w:cs="Times New Roman"/>
          <w:b/>
          <w:sz w:val="21"/>
          <w:szCs w:val="21"/>
          <w:lang w:eastAsia="zh-CN"/>
        </w:rPr>
      </w:pPr>
    </w:p>
    <w:p w14:paraId="4D0873D3">
      <w:pPr>
        <w:pStyle w:val="58"/>
        <w:rPr>
          <w:rFonts w:hint="default" w:ascii="Times New Roman" w:hAnsi="Times New Roman" w:eastAsia="宋体" w:cs="Times New Roman"/>
          <w:b/>
          <w:sz w:val="21"/>
          <w:szCs w:val="21"/>
          <w:lang w:eastAsia="zh-CN"/>
        </w:rPr>
      </w:pPr>
    </w:p>
    <w:p w14:paraId="795903FD">
      <w:pPr>
        <w:pStyle w:val="58"/>
        <w:rPr>
          <w:rFonts w:hint="default" w:ascii="Times New Roman" w:hAnsi="Times New Roman" w:eastAsia="宋体" w:cs="Times New Roman"/>
          <w:b/>
          <w:sz w:val="21"/>
          <w:szCs w:val="21"/>
          <w:lang w:eastAsia="zh-CN"/>
        </w:rPr>
      </w:pPr>
    </w:p>
    <w:p w14:paraId="0FEFB8F8">
      <w:pPr>
        <w:pStyle w:val="58"/>
        <w:rPr>
          <w:rFonts w:hint="default" w:ascii="Times New Roman" w:hAnsi="Times New Roman" w:eastAsia="宋体" w:cs="Times New Roman"/>
          <w:b/>
          <w:sz w:val="21"/>
          <w:szCs w:val="21"/>
          <w:lang w:eastAsia="zh-CN"/>
        </w:rPr>
      </w:pPr>
    </w:p>
    <w:p w14:paraId="6E9451B3">
      <w:pPr>
        <w:pStyle w:val="58"/>
        <w:rPr>
          <w:rFonts w:hint="default" w:ascii="Times New Roman" w:hAnsi="Times New Roman" w:eastAsia="宋体" w:cs="Times New Roman"/>
          <w:b/>
          <w:sz w:val="21"/>
          <w:szCs w:val="21"/>
          <w:lang w:eastAsia="zh-CN"/>
        </w:rPr>
      </w:pPr>
    </w:p>
    <w:p w14:paraId="703531DD">
      <w:pPr>
        <w:pStyle w:val="58"/>
        <w:rPr>
          <w:rFonts w:hint="default" w:ascii="Times New Roman" w:hAnsi="Times New Roman" w:eastAsia="宋体" w:cs="Times New Roman"/>
          <w:b/>
          <w:sz w:val="21"/>
          <w:szCs w:val="21"/>
          <w:lang w:eastAsia="zh-CN"/>
        </w:rPr>
      </w:pPr>
    </w:p>
    <w:p w14:paraId="094E8F6E">
      <w:pPr>
        <w:pStyle w:val="58"/>
        <w:rPr>
          <w:rFonts w:hint="default" w:ascii="Times New Roman" w:hAnsi="Times New Roman" w:eastAsia="宋体" w:cs="Times New Roman"/>
          <w:b/>
          <w:sz w:val="21"/>
          <w:szCs w:val="21"/>
          <w:lang w:eastAsia="zh-CN"/>
        </w:rPr>
      </w:pPr>
    </w:p>
    <w:p w14:paraId="3696BFA9">
      <w:pPr>
        <w:pStyle w:val="58"/>
        <w:rPr>
          <w:rFonts w:hint="default" w:ascii="Times New Roman" w:hAnsi="Times New Roman" w:eastAsia="宋体" w:cs="Times New Roman"/>
          <w:b/>
          <w:sz w:val="21"/>
          <w:szCs w:val="21"/>
          <w:lang w:eastAsia="zh-CN"/>
        </w:rPr>
      </w:pPr>
    </w:p>
    <w:p w14:paraId="0F0CB9E5">
      <w:pPr>
        <w:pStyle w:val="58"/>
        <w:rPr>
          <w:rFonts w:hint="default" w:ascii="Times New Roman" w:hAnsi="Times New Roman" w:eastAsia="宋体" w:cs="Times New Roman"/>
          <w:b/>
          <w:sz w:val="21"/>
          <w:szCs w:val="21"/>
          <w:lang w:eastAsia="zh-CN"/>
        </w:rPr>
      </w:pPr>
    </w:p>
    <w:p w14:paraId="57F920CB">
      <w:pPr>
        <w:pStyle w:val="58"/>
        <w:rPr>
          <w:rFonts w:hint="default" w:ascii="Times New Roman" w:hAnsi="Times New Roman" w:eastAsia="宋体" w:cs="Times New Roman"/>
          <w:b/>
          <w:sz w:val="21"/>
          <w:szCs w:val="21"/>
          <w:lang w:eastAsia="zh-CN"/>
        </w:rPr>
      </w:pPr>
    </w:p>
    <w:p w14:paraId="288D5738">
      <w:pPr>
        <w:pStyle w:val="58"/>
        <w:rPr>
          <w:rFonts w:hint="default" w:ascii="Times New Roman" w:hAnsi="Times New Roman" w:eastAsia="宋体" w:cs="Times New Roman"/>
          <w:b/>
          <w:sz w:val="21"/>
          <w:szCs w:val="21"/>
          <w:lang w:eastAsia="zh-CN"/>
        </w:rPr>
      </w:pPr>
    </w:p>
    <w:p w14:paraId="6A06986D">
      <w:pPr>
        <w:pStyle w:val="58"/>
        <w:rPr>
          <w:rFonts w:hint="default" w:ascii="Times New Roman" w:hAnsi="Times New Roman" w:eastAsia="宋体" w:cs="Times New Roman"/>
          <w:b/>
          <w:sz w:val="21"/>
          <w:szCs w:val="21"/>
          <w:lang w:eastAsia="zh-CN"/>
        </w:rPr>
      </w:pPr>
    </w:p>
    <w:p w14:paraId="644ABB45">
      <w:pPr>
        <w:pStyle w:val="58"/>
        <w:rPr>
          <w:rFonts w:hint="default" w:ascii="Times New Roman" w:hAnsi="Times New Roman" w:eastAsia="宋体" w:cs="Times New Roman"/>
          <w:b/>
          <w:sz w:val="21"/>
          <w:szCs w:val="21"/>
          <w:lang w:eastAsia="zh-CN"/>
        </w:rPr>
      </w:pPr>
    </w:p>
    <w:p w14:paraId="7C6BFAC3">
      <w:pPr>
        <w:pStyle w:val="58"/>
        <w:rPr>
          <w:rFonts w:hint="default" w:ascii="Times New Roman" w:hAnsi="Times New Roman" w:eastAsia="宋体" w:cs="Times New Roman"/>
          <w:b/>
          <w:sz w:val="21"/>
          <w:szCs w:val="21"/>
          <w:lang w:eastAsia="zh-CN"/>
        </w:rPr>
      </w:pPr>
    </w:p>
    <w:p w14:paraId="5D303F86">
      <w:pPr>
        <w:pStyle w:val="58"/>
        <w:rPr>
          <w:rFonts w:hint="default" w:ascii="Times New Roman" w:hAnsi="Times New Roman" w:eastAsia="宋体" w:cs="Times New Roman"/>
          <w:b/>
          <w:sz w:val="21"/>
          <w:szCs w:val="21"/>
          <w:lang w:eastAsia="zh-CN"/>
        </w:rPr>
      </w:pPr>
    </w:p>
    <w:p w14:paraId="2E04C207">
      <w:pPr>
        <w:pStyle w:val="58"/>
        <w:rPr>
          <w:rFonts w:hint="default" w:ascii="Times New Roman" w:hAnsi="Times New Roman" w:eastAsia="宋体" w:cs="Times New Roman"/>
          <w:b/>
          <w:sz w:val="21"/>
          <w:szCs w:val="21"/>
          <w:lang w:eastAsia="zh-CN"/>
        </w:rPr>
      </w:pPr>
    </w:p>
    <w:p w14:paraId="483FB10D">
      <w:pPr>
        <w:pStyle w:val="58"/>
        <w:rPr>
          <w:rFonts w:hint="default" w:ascii="Times New Roman" w:hAnsi="Times New Roman" w:eastAsia="宋体" w:cs="Times New Roman"/>
          <w:b/>
          <w:sz w:val="21"/>
          <w:szCs w:val="21"/>
          <w:lang w:eastAsia="zh-CN"/>
        </w:rPr>
      </w:pPr>
    </w:p>
    <w:p w14:paraId="1F174B5D">
      <w:pPr>
        <w:pStyle w:val="58"/>
        <w:keepNext w:val="0"/>
        <w:keepLines w:val="0"/>
        <w:pageBreakBefore w:val="0"/>
        <w:kinsoku/>
        <w:wordWrap/>
        <w:overflowPunct/>
        <w:topLinePunct w:val="0"/>
        <w:bidi w:val="0"/>
        <w:snapToGrid/>
        <w:spacing w:line="360" w:lineRule="auto"/>
        <w:ind w:right="0" w:rightChars="0"/>
        <w:rPr>
          <w:rFonts w:hint="default" w:ascii="Times New Roman" w:hAnsi="Times New Roman" w:eastAsia="宋体" w:cs="Times New Roman"/>
          <w:sz w:val="21"/>
          <w:szCs w:val="21"/>
        </w:rPr>
      </w:pPr>
    </w:p>
    <w:p w14:paraId="40810368">
      <w:pPr>
        <w:pStyle w:val="58"/>
        <w:rPr>
          <w:rFonts w:ascii="Times New Roman" w:hAnsi="Times New Roman"/>
          <w:b/>
          <w:bCs/>
          <w:sz w:val="24"/>
          <w:szCs w:val="24"/>
        </w:rPr>
      </w:pPr>
    </w:p>
    <w:p w14:paraId="1FF7E2E3">
      <w:pPr>
        <w:pStyle w:val="58"/>
        <w:rPr>
          <w:rFonts w:ascii="Times New Roman" w:hAnsi="Times New Roman"/>
          <w:b/>
          <w:bCs/>
          <w:sz w:val="24"/>
          <w:szCs w:val="24"/>
        </w:rPr>
      </w:pPr>
    </w:p>
    <w:p w14:paraId="4D517E6C">
      <w:pPr>
        <w:pStyle w:val="58"/>
        <w:rPr>
          <w:rFonts w:ascii="Times New Roman" w:hAnsi="Times New Roman"/>
          <w:b/>
          <w:bCs/>
          <w:sz w:val="24"/>
          <w:szCs w:val="24"/>
        </w:rPr>
      </w:pPr>
    </w:p>
    <w:p w14:paraId="28D33561">
      <w:pPr>
        <w:pStyle w:val="58"/>
        <w:rPr>
          <w:rFonts w:ascii="Times New Roman" w:hAnsi="Times New Roman"/>
          <w:b/>
          <w:bCs/>
          <w:sz w:val="24"/>
          <w:szCs w:val="24"/>
        </w:rPr>
      </w:pPr>
    </w:p>
    <w:p w14:paraId="507E4DA6">
      <w:pPr>
        <w:pStyle w:val="58"/>
        <w:rPr>
          <w:rFonts w:ascii="Times New Roman" w:hAnsi="Times New Roman"/>
          <w:sz w:val="28"/>
          <w:szCs w:val="28"/>
        </w:rPr>
      </w:pPr>
    </w:p>
    <w:p w14:paraId="2994E9EE">
      <w:pPr>
        <w:pStyle w:val="58"/>
        <w:rPr>
          <w:rFonts w:ascii="Times New Roman" w:hAnsi="Times New Roman"/>
          <w:sz w:val="28"/>
          <w:szCs w:val="28"/>
        </w:rPr>
      </w:pPr>
    </w:p>
    <w:p w14:paraId="2BF49722">
      <w:pPr>
        <w:pStyle w:val="58"/>
        <w:rPr>
          <w:rFonts w:ascii="Times New Roman" w:hAnsi="Times New Roman"/>
          <w:sz w:val="28"/>
          <w:szCs w:val="28"/>
        </w:rPr>
      </w:pPr>
    </w:p>
    <w:p w14:paraId="45A13950">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附件1、安全环保协议书</w:t>
      </w:r>
    </w:p>
    <w:p w14:paraId="364F7EC7">
      <w:pPr>
        <w:spacing w:line="360" w:lineRule="auto"/>
        <w:rPr>
          <w:rFonts w:ascii="Times New Roman" w:hAnsi="Times New Roman" w:cs="Times New Roman"/>
          <w:sz w:val="24"/>
          <w:szCs w:val="24"/>
          <w:lang w:eastAsia="zh-CN"/>
        </w:rPr>
      </w:pPr>
    </w:p>
    <w:p w14:paraId="1EA8F4E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甲方（委托方）：</w:t>
      </w:r>
      <w:r>
        <w:rPr>
          <w:rFonts w:hint="eastAsia"/>
          <w:sz w:val="24"/>
          <w:lang w:eastAsia="zh-CN"/>
        </w:rPr>
        <w:t>翔鹭石化（漳州）有限公司</w:t>
      </w:r>
      <w:r>
        <w:rPr>
          <w:rFonts w:ascii="Times New Roman" w:hAnsi="Times New Roman" w:cs="Times New Roman"/>
          <w:sz w:val="24"/>
          <w:szCs w:val="24"/>
          <w:lang w:eastAsia="zh-CN"/>
        </w:rPr>
        <w:t xml:space="preserve">                 </w:t>
      </w:r>
    </w:p>
    <w:p w14:paraId="7236BAC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14:paraId="0972783C">
      <w:pPr>
        <w:spacing w:line="42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甲乙双方就 </w:t>
      </w:r>
      <w:r>
        <w:rPr>
          <w:rFonts w:hint="eastAsia" w:ascii="Times New Roman" w:hAnsi="Times New Roman" w:cs="Times New Roman"/>
          <w:sz w:val="24"/>
          <w:szCs w:val="24"/>
          <w:u w:val="single"/>
          <w:lang w:eastAsia="zh-CN"/>
        </w:rPr>
        <w:t xml:space="preserve">翔鹭石化（漳州）有限公司PTA废水处理生化污泥 和TA废料检测 </w:t>
      </w:r>
      <w:r>
        <w:rPr>
          <w:rFonts w:hint="eastAsia" w:ascii="Times New Roman" w:hAnsi="Times New Roman" w:cs="Times New Roman"/>
          <w:sz w:val="24"/>
          <w:szCs w:val="24"/>
          <w:lang w:eastAsia="zh-CN"/>
        </w:rPr>
        <w:t>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4E5E5CBD">
      <w:pPr>
        <w:numPr>
          <w:ilvl w:val="0"/>
          <w:numId w:val="8"/>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14:paraId="4DF5EA40">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14:paraId="1AD45000">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14:paraId="468B8506">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A448A08">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02A8648D">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14:paraId="76B19128">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14:paraId="4A93E9BC">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14:paraId="5EBE4804">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14:paraId="073FC5FD">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14:paraId="1C3F12E4">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14:paraId="5C936817">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2F01E736">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14:paraId="653DD515">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14:paraId="79C3209C">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14:paraId="3098A6C6">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14:paraId="2586D755">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14:paraId="62C336A9">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67F57334">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07926D6">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0326EA9F">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9812EB5">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14:paraId="64CD2BD3">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14:paraId="2C972A67">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14:paraId="2ED50F10">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14:paraId="258691B8">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14:paraId="56C429FC">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735B4D0">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5007B92C">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14:paraId="41E6EC35">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1C49FD3">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14:paraId="570DEFD7">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734E8B3">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39E729A">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14:paraId="16EA6141">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14:paraId="32306275">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14:paraId="4E881EE4">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19C3308F">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14:paraId="15A61898">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14:paraId="658243BE">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4CA06E06">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105F0089">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14:paraId="031AF92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14:paraId="7EA5DF85">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14:paraId="70A03EFA">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14:paraId="6082D62F">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14:paraId="5684301E">
      <w:pPr>
        <w:pStyle w:val="58"/>
      </w:pPr>
    </w:p>
    <w:p w14:paraId="7F531C0A">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sz w:val="24"/>
          <w:szCs w:val="24"/>
          <w:lang w:eastAsia="zh-CN"/>
        </w:rPr>
        <w:t>以下无正文，为合同盖章页。</w:t>
      </w:r>
    </w:p>
    <w:p w14:paraId="4813828F">
      <w:pPr>
        <w:spacing w:line="360" w:lineRule="auto"/>
        <w:rPr>
          <w:rFonts w:ascii="Times New Roman" w:hAnsi="Times New Roman" w:cs="Times New Roman"/>
          <w:sz w:val="24"/>
          <w:szCs w:val="24"/>
          <w:lang w:eastAsia="zh-CN"/>
        </w:rPr>
      </w:pPr>
    </w:p>
    <w:p w14:paraId="0BAEB9BF">
      <w:pPr>
        <w:pStyle w:val="58"/>
      </w:pPr>
    </w:p>
    <w:p w14:paraId="215CDCA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eastAsia="zh-CN"/>
        </w:rPr>
        <w:t xml:space="preserve"> </w:t>
      </w:r>
      <w:r>
        <w:rPr>
          <w:rFonts w:hint="eastAsia"/>
          <w:sz w:val="24"/>
          <w:lang w:eastAsia="zh-CN"/>
        </w:rPr>
        <w:t>翔鹭石化（漳州）有限公司</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p>
    <w:p w14:paraId="3991DFA8">
      <w:pPr>
        <w:spacing w:line="500" w:lineRule="exact"/>
        <w:ind w:left="5160" w:right="-376" w:rightChars="-171" w:hanging="5160" w:hangingChars="2150"/>
        <w:rPr>
          <w:sz w:val="24"/>
          <w:lang w:eastAsia="zh-CN"/>
        </w:rPr>
      </w:pPr>
      <w:r>
        <w:rPr>
          <w:rFonts w:hint="eastAsia"/>
          <w:sz w:val="24"/>
          <w:lang w:eastAsia="zh-CN"/>
        </w:rPr>
        <w:t>开户银行：中国银行漳州分行                  开户银行：</w:t>
      </w:r>
    </w:p>
    <w:p w14:paraId="66F2BFE4">
      <w:pPr>
        <w:spacing w:line="500" w:lineRule="exact"/>
        <w:ind w:right="-376" w:rightChars="-171"/>
        <w:rPr>
          <w:sz w:val="24"/>
          <w:lang w:eastAsia="zh-CN"/>
        </w:rPr>
      </w:pPr>
      <w:r>
        <w:rPr>
          <w:rFonts w:hint="eastAsia"/>
          <w:sz w:val="24"/>
          <w:lang w:eastAsia="zh-CN"/>
        </w:rPr>
        <w:t>账号：416958369985                          账号：</w:t>
      </w:r>
    </w:p>
    <w:p w14:paraId="48588D39">
      <w:pPr>
        <w:spacing w:line="500" w:lineRule="exact"/>
        <w:ind w:right="-376" w:rightChars="-171"/>
        <w:rPr>
          <w:sz w:val="24"/>
          <w:lang w:eastAsia="zh-CN"/>
        </w:rPr>
      </w:pPr>
      <w:r>
        <w:rPr>
          <w:rFonts w:hint="eastAsia"/>
          <w:sz w:val="24"/>
          <w:lang w:eastAsia="zh-CN"/>
        </w:rPr>
        <w:t>税号：913506006765392255                    税号：</w:t>
      </w:r>
    </w:p>
    <w:p w14:paraId="4329E662">
      <w:pPr>
        <w:pStyle w:val="58"/>
        <w:rPr>
          <w:rFonts w:hAnsi="宋体"/>
          <w:sz w:val="24"/>
        </w:rPr>
      </w:pPr>
    </w:p>
    <w:p w14:paraId="28EF72E2">
      <w:pPr>
        <w:pStyle w:val="58"/>
        <w:rPr>
          <w:rFonts w:hAnsi="宋体"/>
          <w:sz w:val="24"/>
        </w:rPr>
      </w:pPr>
    </w:p>
    <w:p w14:paraId="2D7FFFEB">
      <w:pPr>
        <w:widowControl/>
        <w:spacing w:line="360" w:lineRule="auto"/>
        <w:ind w:left="260" w:leftChars="118"/>
        <w:rPr>
          <w:rFonts w:ascii="Times New Roman" w:hAnsi="Times New Roman"/>
          <w:b/>
          <w:bCs/>
          <w:sz w:val="24"/>
          <w:szCs w:val="24"/>
        </w:rPr>
      </w:pPr>
    </w:p>
    <w:p w14:paraId="02D158C1">
      <w:pPr>
        <w:pStyle w:val="58"/>
        <w:spacing w:line="360" w:lineRule="auto"/>
        <w:rPr>
          <w:rFonts w:ascii="Times New Roman" w:hAnsi="Times New Roman"/>
          <w:b/>
          <w:bCs/>
          <w:sz w:val="24"/>
          <w:szCs w:val="24"/>
        </w:rPr>
      </w:pPr>
      <w:r>
        <w:rPr>
          <w:rFonts w:ascii="Times New Roman" w:hAnsi="Times New Roman"/>
          <w:b/>
          <w:bCs/>
          <w:sz w:val="24"/>
          <w:szCs w:val="24"/>
        </w:rPr>
        <w:t>附件二、参选文件范本</w:t>
      </w:r>
    </w:p>
    <w:p w14:paraId="6196C8F3">
      <w:pPr>
        <w:pStyle w:val="24"/>
        <w:spacing w:line="360" w:lineRule="auto"/>
        <w:jc w:val="center"/>
        <w:rPr>
          <w:rFonts w:ascii="Times New Roman" w:hAnsi="Times New Roman" w:cs="Times New Roman"/>
          <w:b/>
          <w:sz w:val="52"/>
          <w:szCs w:val="52"/>
          <w:lang w:eastAsia="zh-CN"/>
        </w:rPr>
      </w:pPr>
    </w:p>
    <w:p w14:paraId="79F10FF2">
      <w:pPr>
        <w:pStyle w:val="24"/>
        <w:spacing w:line="360" w:lineRule="auto"/>
        <w:jc w:val="center"/>
        <w:rPr>
          <w:rFonts w:ascii="Times New Roman" w:hAnsi="Times New Roman" w:cs="Times New Roman"/>
          <w:b/>
          <w:sz w:val="44"/>
          <w:szCs w:val="44"/>
          <w:lang w:eastAsia="zh-CN"/>
        </w:rPr>
      </w:pPr>
    </w:p>
    <w:p w14:paraId="1DE68AB3">
      <w:pPr>
        <w:pStyle w:val="24"/>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14:paraId="727D3C9B">
      <w:pPr>
        <w:pStyle w:val="24"/>
        <w:spacing w:line="360" w:lineRule="auto"/>
        <w:jc w:val="center"/>
        <w:rPr>
          <w:rFonts w:ascii="Times New Roman" w:hAnsi="Times New Roman" w:cs="Times New Roman"/>
          <w:b/>
          <w:sz w:val="44"/>
          <w:szCs w:val="44"/>
          <w:lang w:eastAsia="zh-CN"/>
        </w:rPr>
      </w:pPr>
    </w:p>
    <w:p w14:paraId="3F3C4B77">
      <w:pPr>
        <w:pStyle w:val="24"/>
        <w:spacing w:line="360" w:lineRule="auto"/>
        <w:jc w:val="center"/>
        <w:rPr>
          <w:rFonts w:ascii="Times New Roman" w:hAnsi="Times New Roman" w:cs="Times New Roman"/>
          <w:b/>
          <w:sz w:val="36"/>
          <w:szCs w:val="36"/>
          <w:lang w:eastAsia="zh-CN"/>
        </w:rPr>
      </w:pPr>
    </w:p>
    <w:p w14:paraId="6772D929">
      <w:pPr>
        <w:spacing w:line="360" w:lineRule="auto"/>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PTA废水处理生化污泥 和TA废料检测 项目</w:t>
      </w:r>
    </w:p>
    <w:p w14:paraId="67FE6F4F">
      <w:pPr>
        <w:spacing w:line="360" w:lineRule="auto"/>
        <w:jc w:val="center"/>
        <w:rPr>
          <w:rFonts w:ascii="Times New Roman" w:hAnsi="Times New Roman" w:cs="Times New Roman"/>
          <w:b/>
          <w:bCs/>
          <w:sz w:val="36"/>
          <w:szCs w:val="36"/>
          <w:lang w:eastAsia="zh-CN"/>
        </w:rPr>
      </w:pPr>
    </w:p>
    <w:p w14:paraId="1832E727">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14:paraId="32CD9BC9">
      <w:pPr>
        <w:pStyle w:val="58"/>
        <w:spacing w:line="360" w:lineRule="auto"/>
        <w:rPr>
          <w:rFonts w:ascii="Times New Roman" w:hAnsi="Times New Roman"/>
        </w:rPr>
      </w:pPr>
    </w:p>
    <w:p w14:paraId="3D372D37">
      <w:pPr>
        <w:pStyle w:val="24"/>
        <w:spacing w:line="360" w:lineRule="auto"/>
        <w:rPr>
          <w:rFonts w:ascii="Times New Roman" w:hAnsi="Times New Roman" w:cs="Times New Roman"/>
          <w:lang w:eastAsia="zh-CN"/>
        </w:rPr>
      </w:pPr>
    </w:p>
    <w:p w14:paraId="357F4EF9">
      <w:pPr>
        <w:pStyle w:val="24"/>
        <w:spacing w:line="360" w:lineRule="auto"/>
        <w:rPr>
          <w:rFonts w:ascii="Times New Roman" w:hAnsi="Times New Roman" w:cs="Times New Roman"/>
          <w:lang w:eastAsia="zh-CN"/>
        </w:rPr>
      </w:pPr>
    </w:p>
    <w:p w14:paraId="34497EEB">
      <w:pPr>
        <w:pStyle w:val="24"/>
        <w:spacing w:line="360" w:lineRule="auto"/>
        <w:rPr>
          <w:rFonts w:ascii="Times New Roman" w:hAnsi="Times New Roman" w:cs="Times New Roman"/>
          <w:lang w:eastAsia="zh-CN"/>
        </w:rPr>
      </w:pPr>
    </w:p>
    <w:p w14:paraId="3A331B47">
      <w:pPr>
        <w:pStyle w:val="24"/>
        <w:spacing w:line="360" w:lineRule="auto"/>
        <w:rPr>
          <w:rFonts w:ascii="Times New Roman" w:hAnsi="Times New Roman" w:cs="Times New Roman"/>
          <w:lang w:eastAsia="zh-CN"/>
        </w:rPr>
      </w:pPr>
    </w:p>
    <w:p w14:paraId="0C7C29BB">
      <w:pPr>
        <w:pStyle w:val="24"/>
        <w:spacing w:line="360" w:lineRule="auto"/>
        <w:rPr>
          <w:rFonts w:ascii="Times New Roman" w:hAnsi="Times New Roman" w:cs="Times New Roman"/>
          <w:lang w:eastAsia="zh-CN"/>
        </w:rPr>
      </w:pPr>
    </w:p>
    <w:p w14:paraId="75EF8BEE">
      <w:pPr>
        <w:pStyle w:val="24"/>
        <w:spacing w:line="360" w:lineRule="auto"/>
        <w:rPr>
          <w:rFonts w:ascii="Times New Roman" w:hAnsi="Times New Roman" w:cs="Times New Roman"/>
          <w:b/>
          <w:bCs/>
          <w:sz w:val="32"/>
          <w:szCs w:val="32"/>
          <w:lang w:eastAsia="zh-CN"/>
        </w:rPr>
      </w:pPr>
    </w:p>
    <w:p w14:paraId="03227458">
      <w:pPr>
        <w:pStyle w:val="24"/>
        <w:spacing w:line="360" w:lineRule="auto"/>
        <w:rPr>
          <w:rFonts w:ascii="Times New Roman" w:hAnsi="Times New Roman" w:cs="Times New Roman"/>
          <w:b/>
          <w:bCs/>
          <w:sz w:val="32"/>
          <w:szCs w:val="32"/>
          <w:lang w:eastAsia="zh-CN"/>
        </w:rPr>
      </w:pPr>
    </w:p>
    <w:p w14:paraId="71E58461">
      <w:pPr>
        <w:pStyle w:val="24"/>
        <w:spacing w:line="360" w:lineRule="auto"/>
        <w:rPr>
          <w:rFonts w:ascii="Times New Roman" w:hAnsi="Times New Roman" w:cs="Times New Roman"/>
          <w:b/>
          <w:bCs/>
          <w:sz w:val="32"/>
          <w:szCs w:val="36"/>
          <w:lang w:eastAsia="zh-CN"/>
        </w:rPr>
      </w:pPr>
    </w:p>
    <w:p w14:paraId="738C3BAF">
      <w:pPr>
        <w:pStyle w:val="24"/>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14:paraId="2C33878C">
      <w:pPr>
        <w:pStyle w:val="24"/>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10</w:t>
      </w:r>
      <w:r>
        <w:rPr>
          <w:rFonts w:ascii="Times New Roman" w:hAnsi="Times New Roman" w:cs="Times New Roman"/>
          <w:b/>
          <w:bCs/>
          <w:w w:val="95"/>
          <w:sz w:val="32"/>
          <w:lang w:eastAsia="zh-CN"/>
        </w:rPr>
        <w:t>月</w:t>
      </w:r>
    </w:p>
    <w:p w14:paraId="3AF13043">
      <w:pPr>
        <w:spacing w:line="360" w:lineRule="auto"/>
        <w:rPr>
          <w:rFonts w:ascii="Times New Roman" w:hAnsi="Times New Roman" w:cs="Times New Roman"/>
          <w:lang w:eastAsia="zh-CN"/>
        </w:rPr>
      </w:pPr>
    </w:p>
    <w:p w14:paraId="3DE608A5">
      <w:pPr>
        <w:pStyle w:val="58"/>
        <w:spacing w:line="360" w:lineRule="auto"/>
        <w:rPr>
          <w:rFonts w:ascii="Times New Roman" w:hAnsi="Times New Roman"/>
        </w:rPr>
      </w:pPr>
    </w:p>
    <w:p w14:paraId="342F7C87">
      <w:pPr>
        <w:pStyle w:val="58"/>
        <w:spacing w:line="360" w:lineRule="auto"/>
        <w:rPr>
          <w:rFonts w:ascii="Times New Roman" w:hAnsi="Times New Roman"/>
        </w:rPr>
      </w:pPr>
    </w:p>
    <w:p w14:paraId="38C64CBA">
      <w:pPr>
        <w:pStyle w:val="58"/>
        <w:spacing w:line="360" w:lineRule="auto"/>
        <w:rPr>
          <w:rFonts w:ascii="Times New Roman" w:hAnsi="Times New Roman"/>
        </w:rPr>
      </w:pPr>
    </w:p>
    <w:p w14:paraId="1C77411C">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14:paraId="01304628">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14:paraId="31C89195">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1．参选人应按规定，向比选人递交参选文件，正本一份、副本一份，当正本与副本有不一致时，以正本为准。</w:t>
      </w:r>
    </w:p>
    <w:p w14:paraId="706C99DF">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2.所有纸质文件采用A4纸胶装、平装。所有参选文件应增加统一外层包封。</w:t>
      </w:r>
    </w:p>
    <w:p w14:paraId="17EEA8B8">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14:paraId="694C00AF">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4.凡因参选文件不按规定填写，或填写不清晰、不完整、或密封不合要求而引起的一切后果，由参选人自行负责。</w:t>
      </w:r>
    </w:p>
    <w:p w14:paraId="62163737">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5.参选文件正本必须逐页或骑缝加盖参选人公章或由法人代表或法人代表授权人逐页签字方视为有效，同时应注明提交日期，否则视为废标。</w:t>
      </w:r>
    </w:p>
    <w:p w14:paraId="0E98D9E0">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6.在外层包封上应写明参选人的名称与地址、邮政编码，以便参选出现逾期送达时能原封退回。具体样式如下：</w:t>
      </w:r>
    </w:p>
    <w:p w14:paraId="3ADEB9C8">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14:paraId="06FCCA0E">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32F4956">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0DC13281">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320B6EC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276A7FDC">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52CAD39">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2DD851C">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2A95277C">
      <w:pPr>
        <w:spacing w:line="360" w:lineRule="auto"/>
        <w:rPr>
          <w:rFonts w:ascii="Times New Roman" w:hAnsi="Times New Roman" w:cs="Times New Roman"/>
          <w:szCs w:val="21"/>
          <w:lang w:eastAsia="zh-CN"/>
        </w:rPr>
      </w:pPr>
    </w:p>
    <w:p w14:paraId="178DBA52">
      <w:pPr>
        <w:spacing w:line="360" w:lineRule="auto"/>
        <w:rPr>
          <w:rFonts w:ascii="Times New Roman" w:hAnsi="Times New Roman" w:cs="Times New Roman"/>
          <w:szCs w:val="21"/>
          <w:lang w:eastAsia="zh-CN"/>
        </w:rPr>
      </w:pPr>
    </w:p>
    <w:p w14:paraId="7B681868">
      <w:pPr>
        <w:spacing w:line="360" w:lineRule="auto"/>
        <w:rPr>
          <w:rFonts w:ascii="Times New Roman" w:hAnsi="Times New Roman" w:cs="Times New Roman"/>
          <w:szCs w:val="21"/>
          <w:lang w:eastAsia="zh-CN"/>
        </w:rPr>
      </w:pPr>
    </w:p>
    <w:p w14:paraId="29BE902C">
      <w:pPr>
        <w:spacing w:line="360" w:lineRule="auto"/>
        <w:rPr>
          <w:rFonts w:ascii="Times New Roman" w:hAnsi="Times New Roman" w:cs="Times New Roman"/>
          <w:szCs w:val="21"/>
          <w:lang w:eastAsia="zh-CN"/>
        </w:rPr>
      </w:pPr>
    </w:p>
    <w:p w14:paraId="33C2E845">
      <w:pPr>
        <w:spacing w:line="360" w:lineRule="auto"/>
        <w:rPr>
          <w:rFonts w:ascii="Times New Roman" w:hAnsi="Times New Roman" w:cs="Times New Roman"/>
          <w:szCs w:val="21"/>
          <w:lang w:eastAsia="zh-CN"/>
        </w:rPr>
      </w:pPr>
    </w:p>
    <w:p w14:paraId="5F4F3356">
      <w:pPr>
        <w:spacing w:line="360" w:lineRule="auto"/>
        <w:rPr>
          <w:rFonts w:ascii="Times New Roman" w:hAnsi="Times New Roman" w:cs="Times New Roman"/>
          <w:szCs w:val="21"/>
          <w:lang w:eastAsia="zh-CN"/>
        </w:rPr>
      </w:pPr>
    </w:p>
    <w:p w14:paraId="2B94B873">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14:paraId="1CB3DDAC">
      <w:pPr>
        <w:pStyle w:val="76"/>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sz w:val="24"/>
          <w:szCs w:val="24"/>
          <w:lang w:eastAsia="zh-CN"/>
        </w:rPr>
        <w:t>8、以下文件中红色字体部分，打印时请删除。</w:t>
      </w:r>
    </w:p>
    <w:p w14:paraId="39BFE396">
      <w:pPr>
        <w:pStyle w:val="76"/>
        <w:spacing w:beforeLines="0" w:afterLines="0"/>
        <w:ind w:firstLine="530" w:firstLineChars="221"/>
        <w:rPr>
          <w:rFonts w:ascii="Times New Roman" w:hAnsi="Times New Roman" w:cs="Times New Roman"/>
          <w:sz w:val="24"/>
          <w:szCs w:val="24"/>
          <w:lang w:eastAsia="zh-CN"/>
        </w:rPr>
      </w:pPr>
    </w:p>
    <w:p w14:paraId="5C44DBC7">
      <w:pPr>
        <w:pStyle w:val="76"/>
        <w:spacing w:beforeLines="0" w:afterLines="0"/>
        <w:ind w:firstLine="530" w:firstLineChars="221"/>
        <w:rPr>
          <w:rFonts w:ascii="Times New Roman" w:hAnsi="Times New Roman" w:cs="Times New Roman"/>
          <w:sz w:val="24"/>
          <w:szCs w:val="24"/>
          <w:lang w:eastAsia="zh-CN"/>
        </w:rPr>
      </w:pPr>
    </w:p>
    <w:p w14:paraId="21185DF4">
      <w:pPr>
        <w:pStyle w:val="76"/>
        <w:spacing w:beforeLines="0" w:afterLines="0"/>
        <w:ind w:firstLine="530" w:firstLineChars="221"/>
        <w:rPr>
          <w:rFonts w:ascii="Times New Roman" w:hAnsi="Times New Roman" w:cs="Times New Roman"/>
          <w:sz w:val="24"/>
          <w:szCs w:val="24"/>
          <w:lang w:eastAsia="zh-CN"/>
        </w:rPr>
      </w:pPr>
    </w:p>
    <w:p w14:paraId="4F698900">
      <w:pPr>
        <w:pStyle w:val="58"/>
        <w:spacing w:line="360" w:lineRule="auto"/>
        <w:rPr>
          <w:rFonts w:ascii="Times New Roman" w:hAnsi="Times New Roman"/>
        </w:rPr>
      </w:pPr>
    </w:p>
    <w:p w14:paraId="3B98A937">
      <w:pPr>
        <w:spacing w:line="360" w:lineRule="auto"/>
        <w:jc w:val="center"/>
        <w:rPr>
          <w:rFonts w:ascii="Times New Roman" w:hAnsi="Times New Roman" w:cs="Times New Roman"/>
          <w:b/>
          <w:sz w:val="44"/>
          <w:szCs w:val="44"/>
          <w:lang w:eastAsia="zh-CN"/>
        </w:rPr>
      </w:pPr>
    </w:p>
    <w:p w14:paraId="1C6CA3F1">
      <w:pPr>
        <w:pStyle w:val="58"/>
        <w:rPr>
          <w:rFonts w:ascii="Times New Roman" w:hAnsi="Times New Roman"/>
          <w:b/>
          <w:sz w:val="44"/>
          <w:szCs w:val="44"/>
        </w:rPr>
      </w:pPr>
    </w:p>
    <w:p w14:paraId="3842EB74">
      <w:pPr>
        <w:pStyle w:val="58"/>
        <w:rPr>
          <w:rFonts w:ascii="Times New Roman" w:hAnsi="Times New Roman"/>
          <w:b/>
          <w:sz w:val="44"/>
          <w:szCs w:val="44"/>
        </w:rPr>
      </w:pPr>
    </w:p>
    <w:p w14:paraId="3A84B829">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FAE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C7E09FC">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14:paraId="1417DAF1">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14:paraId="2BD628F0">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14:paraId="54F7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DD4F5E0">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14:paraId="09612197">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14:paraId="536E7546">
            <w:pPr>
              <w:spacing w:line="360" w:lineRule="auto"/>
              <w:jc w:val="center"/>
              <w:rPr>
                <w:rFonts w:ascii="Times New Roman" w:hAnsi="Times New Roman" w:cs="Times New Roman"/>
                <w:sz w:val="24"/>
              </w:rPr>
            </w:pPr>
          </w:p>
        </w:tc>
      </w:tr>
      <w:tr w14:paraId="055D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05673BE">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14:paraId="08637A96">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14:paraId="06B4614C">
            <w:pPr>
              <w:spacing w:line="360" w:lineRule="auto"/>
              <w:jc w:val="center"/>
              <w:rPr>
                <w:rFonts w:ascii="Times New Roman" w:hAnsi="Times New Roman" w:cs="Times New Roman"/>
                <w:sz w:val="24"/>
              </w:rPr>
            </w:pPr>
          </w:p>
        </w:tc>
      </w:tr>
      <w:tr w14:paraId="5CAA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669606">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14:paraId="76F72872">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14:paraId="730BE010">
            <w:pPr>
              <w:spacing w:line="360" w:lineRule="auto"/>
              <w:jc w:val="center"/>
              <w:rPr>
                <w:rFonts w:ascii="Times New Roman" w:hAnsi="Times New Roman" w:cs="Times New Roman"/>
                <w:sz w:val="24"/>
                <w:lang w:eastAsia="zh-CN"/>
              </w:rPr>
            </w:pPr>
          </w:p>
        </w:tc>
      </w:tr>
      <w:tr w14:paraId="5767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30EF1FE">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14:paraId="772CCA4D">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14:paraId="6D76098F">
            <w:pPr>
              <w:spacing w:line="360" w:lineRule="auto"/>
              <w:jc w:val="center"/>
              <w:rPr>
                <w:rFonts w:ascii="Times New Roman" w:hAnsi="Times New Roman" w:cs="Times New Roman"/>
                <w:sz w:val="24"/>
                <w:lang w:eastAsia="zh-CN"/>
              </w:rPr>
            </w:pPr>
          </w:p>
        </w:tc>
      </w:tr>
      <w:tr w14:paraId="4780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D892D73">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14:paraId="1C79F89D">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14:paraId="4A7B2A09">
            <w:pPr>
              <w:spacing w:line="360" w:lineRule="auto"/>
              <w:jc w:val="center"/>
              <w:rPr>
                <w:rFonts w:ascii="Times New Roman" w:hAnsi="Times New Roman" w:cs="Times New Roman"/>
                <w:sz w:val="24"/>
                <w:lang w:eastAsia="zh-CN"/>
              </w:rPr>
            </w:pPr>
          </w:p>
        </w:tc>
      </w:tr>
      <w:tr w14:paraId="0EED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A10C0F9">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14:paraId="31E3947B">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14:paraId="644ACF7D">
            <w:pPr>
              <w:spacing w:line="360" w:lineRule="auto"/>
              <w:jc w:val="center"/>
              <w:rPr>
                <w:rFonts w:ascii="Times New Roman" w:hAnsi="Times New Roman" w:cs="Times New Roman"/>
                <w:sz w:val="24"/>
              </w:rPr>
            </w:pPr>
          </w:p>
        </w:tc>
      </w:tr>
      <w:tr w14:paraId="70CA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A41EC12">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14:paraId="18A170B1">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14:paraId="566E6837">
            <w:pPr>
              <w:spacing w:line="360" w:lineRule="auto"/>
              <w:jc w:val="center"/>
              <w:rPr>
                <w:rFonts w:ascii="Times New Roman" w:hAnsi="Times New Roman" w:cs="Times New Roman"/>
                <w:sz w:val="24"/>
              </w:rPr>
            </w:pPr>
          </w:p>
        </w:tc>
      </w:tr>
      <w:tr w14:paraId="5E23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1F8C08">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14:paraId="0F378D88">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14:paraId="601D5009">
            <w:pPr>
              <w:spacing w:line="360" w:lineRule="auto"/>
              <w:jc w:val="center"/>
              <w:rPr>
                <w:rFonts w:ascii="Times New Roman" w:hAnsi="Times New Roman" w:cs="Times New Roman"/>
                <w:sz w:val="24"/>
                <w:lang w:eastAsia="zh-CN"/>
              </w:rPr>
            </w:pPr>
          </w:p>
        </w:tc>
      </w:tr>
      <w:tr w14:paraId="3312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064E675">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14:paraId="020FDAC6">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14:paraId="6A192F69">
            <w:pPr>
              <w:spacing w:line="360" w:lineRule="auto"/>
              <w:jc w:val="center"/>
              <w:rPr>
                <w:rFonts w:ascii="Times New Roman" w:hAnsi="Times New Roman" w:cs="Times New Roman"/>
                <w:sz w:val="24"/>
              </w:rPr>
            </w:pPr>
          </w:p>
        </w:tc>
      </w:tr>
      <w:tr w14:paraId="3F1A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73BD72B">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14:paraId="2903FFAA">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14:paraId="26E51A8E">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14:paraId="1E05D9E6">
      <w:pPr>
        <w:spacing w:line="360" w:lineRule="auto"/>
        <w:jc w:val="center"/>
        <w:rPr>
          <w:rFonts w:ascii="Times New Roman" w:hAnsi="Times New Roman" w:cs="Times New Roman"/>
          <w:b/>
          <w:bCs/>
          <w:sz w:val="24"/>
        </w:rPr>
      </w:pPr>
    </w:p>
    <w:p w14:paraId="2694EB86">
      <w:pPr>
        <w:pStyle w:val="58"/>
        <w:spacing w:line="360" w:lineRule="auto"/>
        <w:rPr>
          <w:rFonts w:ascii="Times New Roman" w:hAnsi="Times New Roman"/>
          <w:b/>
          <w:bCs/>
          <w:sz w:val="36"/>
          <w:szCs w:val="36"/>
        </w:rPr>
      </w:pPr>
    </w:p>
    <w:p w14:paraId="0B5074AF">
      <w:pPr>
        <w:pStyle w:val="58"/>
        <w:spacing w:line="360" w:lineRule="auto"/>
        <w:rPr>
          <w:rFonts w:ascii="Times New Roman" w:hAnsi="Times New Roman"/>
          <w:b/>
          <w:bCs/>
          <w:sz w:val="36"/>
          <w:szCs w:val="36"/>
        </w:rPr>
      </w:pPr>
    </w:p>
    <w:p w14:paraId="2605AC2D">
      <w:pPr>
        <w:pStyle w:val="58"/>
        <w:spacing w:line="360" w:lineRule="auto"/>
        <w:rPr>
          <w:rFonts w:ascii="Times New Roman" w:hAnsi="Times New Roman"/>
          <w:b/>
          <w:bCs/>
          <w:sz w:val="36"/>
          <w:szCs w:val="36"/>
        </w:rPr>
      </w:pPr>
    </w:p>
    <w:p w14:paraId="089AC763">
      <w:pPr>
        <w:spacing w:line="360" w:lineRule="auto"/>
        <w:rPr>
          <w:rFonts w:ascii="Times New Roman" w:hAnsi="Times New Roman" w:cs="Times New Roman"/>
          <w:b/>
          <w:bCs/>
          <w:sz w:val="36"/>
          <w:szCs w:val="36"/>
          <w:lang w:eastAsia="zh-CN"/>
        </w:rPr>
      </w:pPr>
    </w:p>
    <w:p w14:paraId="665BDAE1">
      <w:pPr>
        <w:spacing w:line="360" w:lineRule="auto"/>
        <w:jc w:val="center"/>
        <w:rPr>
          <w:rFonts w:ascii="Times New Roman" w:hAnsi="Times New Roman" w:cs="Times New Roman"/>
          <w:b/>
          <w:bCs/>
          <w:sz w:val="36"/>
          <w:szCs w:val="36"/>
        </w:rPr>
      </w:pPr>
    </w:p>
    <w:p w14:paraId="02376AB2">
      <w:pPr>
        <w:pStyle w:val="58"/>
        <w:spacing w:line="360" w:lineRule="auto"/>
        <w:rPr>
          <w:rFonts w:ascii="Times New Roman" w:hAnsi="Times New Roman"/>
          <w:b/>
          <w:bCs/>
          <w:sz w:val="36"/>
          <w:szCs w:val="36"/>
        </w:rPr>
      </w:pPr>
    </w:p>
    <w:p w14:paraId="0AE8C2FE">
      <w:pPr>
        <w:pStyle w:val="58"/>
        <w:spacing w:line="360" w:lineRule="auto"/>
        <w:rPr>
          <w:rFonts w:ascii="Times New Roman" w:hAnsi="Times New Roman"/>
          <w:b/>
          <w:bCs/>
          <w:sz w:val="36"/>
          <w:szCs w:val="36"/>
        </w:rPr>
      </w:pPr>
    </w:p>
    <w:p w14:paraId="71FAD1A5">
      <w:pPr>
        <w:pStyle w:val="58"/>
        <w:spacing w:line="360" w:lineRule="auto"/>
        <w:rPr>
          <w:rFonts w:ascii="Times New Roman" w:hAnsi="Times New Roman"/>
          <w:b/>
          <w:bCs/>
          <w:sz w:val="36"/>
          <w:szCs w:val="36"/>
        </w:rPr>
      </w:pPr>
    </w:p>
    <w:p w14:paraId="01862624">
      <w:pPr>
        <w:pStyle w:val="58"/>
        <w:spacing w:line="360" w:lineRule="auto"/>
        <w:rPr>
          <w:rFonts w:ascii="Times New Roman" w:hAnsi="Times New Roman"/>
          <w:b/>
          <w:bCs/>
          <w:sz w:val="36"/>
          <w:szCs w:val="36"/>
        </w:rPr>
      </w:pPr>
    </w:p>
    <w:p w14:paraId="32EE69E6">
      <w:pPr>
        <w:pStyle w:val="58"/>
        <w:spacing w:line="360" w:lineRule="auto"/>
        <w:rPr>
          <w:rFonts w:ascii="Times New Roman" w:hAnsi="Times New Roman"/>
          <w:b/>
          <w:bCs/>
          <w:sz w:val="36"/>
          <w:szCs w:val="36"/>
        </w:rPr>
      </w:pPr>
    </w:p>
    <w:p w14:paraId="6CE22165">
      <w:pPr>
        <w:pStyle w:val="58"/>
        <w:spacing w:line="360" w:lineRule="auto"/>
        <w:rPr>
          <w:rFonts w:ascii="Times New Roman" w:hAnsi="Times New Roman"/>
          <w:b/>
          <w:bCs/>
          <w:sz w:val="36"/>
          <w:szCs w:val="36"/>
        </w:rPr>
      </w:pPr>
    </w:p>
    <w:p w14:paraId="1FEA7B0A">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14:paraId="615D7685">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14:paraId="226FC7B3">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14:paraId="13BBC2BF">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14:paraId="497A464D">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14:paraId="16702BFF">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14:paraId="783B962C">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14:paraId="322B8E9B">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14:paraId="2B786D8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14:paraId="0F75D5CA">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14:paraId="713E4765">
      <w:pPr>
        <w:spacing w:line="360" w:lineRule="auto"/>
        <w:ind w:firstLine="480" w:firstLineChars="200"/>
        <w:rPr>
          <w:rFonts w:ascii="Times New Roman" w:hAnsi="Times New Roman" w:cs="Times New Roman"/>
          <w:sz w:val="24"/>
          <w:lang w:eastAsia="zh-CN"/>
        </w:rPr>
      </w:pPr>
    </w:p>
    <w:p w14:paraId="53572C6D">
      <w:pPr>
        <w:spacing w:line="360" w:lineRule="auto"/>
        <w:ind w:firstLine="480" w:firstLineChars="200"/>
        <w:rPr>
          <w:rFonts w:ascii="Times New Roman" w:hAnsi="Times New Roman" w:cs="Times New Roman"/>
          <w:sz w:val="24"/>
          <w:lang w:eastAsia="zh-CN"/>
        </w:rPr>
      </w:pPr>
    </w:p>
    <w:p w14:paraId="5C6D50B4">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14:paraId="541A2B46">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14:paraId="3D6F46DC">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14:paraId="3F07D376">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14:paraId="416F33C7">
      <w:pPr>
        <w:pStyle w:val="58"/>
        <w:spacing w:line="360" w:lineRule="auto"/>
        <w:rPr>
          <w:rFonts w:ascii="Times New Roman" w:hAnsi="Times New Roman"/>
        </w:rPr>
      </w:pPr>
    </w:p>
    <w:p w14:paraId="2A2AC621">
      <w:pPr>
        <w:pStyle w:val="58"/>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kern w:val="2"/>
          <w:sz w:val="28"/>
          <w:szCs w:val="28"/>
        </w:rPr>
        <w:t>（单位名称）</w:t>
      </w:r>
    </w:p>
    <w:p w14:paraId="05F7ED9C">
      <w:pPr>
        <w:pStyle w:val="58"/>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14:paraId="50DA167F">
      <w:pPr>
        <w:spacing w:line="360" w:lineRule="auto"/>
        <w:jc w:val="both"/>
        <w:rPr>
          <w:rFonts w:ascii="Times New Roman" w:hAnsi="Times New Roman" w:cs="Times New Roman"/>
          <w:sz w:val="34"/>
          <w:lang w:eastAsia="zh-CN"/>
        </w:rPr>
      </w:pPr>
    </w:p>
    <w:p w14:paraId="611D0AD5">
      <w:pPr>
        <w:spacing w:line="360" w:lineRule="auto"/>
        <w:jc w:val="center"/>
        <w:rPr>
          <w:rFonts w:ascii="Times New Roman" w:hAnsi="Times New Roman" w:cs="Times New Roman"/>
          <w:b/>
          <w:bCs/>
          <w:sz w:val="36"/>
          <w:szCs w:val="36"/>
          <w:lang w:eastAsia="zh-CN"/>
        </w:rPr>
      </w:pPr>
    </w:p>
    <w:p w14:paraId="6A0FD190">
      <w:pPr>
        <w:spacing w:line="360" w:lineRule="auto"/>
        <w:jc w:val="center"/>
        <w:rPr>
          <w:rFonts w:ascii="Times New Roman" w:hAnsi="Times New Roman" w:cs="Times New Roman"/>
          <w:b/>
          <w:bCs/>
          <w:sz w:val="36"/>
          <w:szCs w:val="36"/>
          <w:lang w:eastAsia="zh-CN"/>
        </w:rPr>
      </w:pPr>
    </w:p>
    <w:p w14:paraId="7E889519">
      <w:pPr>
        <w:spacing w:line="360" w:lineRule="auto"/>
        <w:jc w:val="center"/>
        <w:rPr>
          <w:rFonts w:ascii="Times New Roman" w:hAnsi="Times New Roman" w:cs="Times New Roman"/>
          <w:b/>
          <w:bCs/>
          <w:sz w:val="36"/>
          <w:szCs w:val="36"/>
          <w:lang w:eastAsia="zh-CN"/>
        </w:rPr>
      </w:pPr>
    </w:p>
    <w:p w14:paraId="7CBF24F4">
      <w:pPr>
        <w:spacing w:line="360" w:lineRule="auto"/>
        <w:jc w:val="center"/>
        <w:rPr>
          <w:rFonts w:ascii="Times New Roman" w:hAnsi="Times New Roman" w:cs="Times New Roman"/>
          <w:b/>
          <w:bCs/>
          <w:sz w:val="36"/>
          <w:szCs w:val="36"/>
          <w:lang w:eastAsia="zh-CN"/>
        </w:rPr>
      </w:pPr>
    </w:p>
    <w:p w14:paraId="4FA292B1">
      <w:pPr>
        <w:spacing w:line="360" w:lineRule="auto"/>
        <w:jc w:val="center"/>
        <w:rPr>
          <w:rFonts w:ascii="Times New Roman" w:hAnsi="Times New Roman" w:cs="Times New Roman"/>
          <w:b/>
          <w:bCs/>
          <w:sz w:val="36"/>
          <w:szCs w:val="36"/>
          <w:lang w:eastAsia="zh-CN"/>
        </w:rPr>
      </w:pPr>
    </w:p>
    <w:p w14:paraId="42D07631">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14:paraId="0569D943">
      <w:pPr>
        <w:pStyle w:val="58"/>
        <w:spacing w:line="360" w:lineRule="auto"/>
        <w:jc w:val="center"/>
        <w:rPr>
          <w:rFonts w:ascii="Times New Roman" w:hAnsi="Times New Roman"/>
        </w:rPr>
      </w:pPr>
    </w:p>
    <w:p w14:paraId="324AE0C0">
      <w:pPr>
        <w:spacing w:line="420" w:lineRule="exact"/>
        <w:ind w:firstLine="600" w:firstLineChars="25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hint="eastAsia" w:ascii="Times New Roman" w:hAnsi="Times New Roman" w:cs="Times New Roman"/>
          <w:sz w:val="24"/>
          <w:u w:val="single"/>
          <w:lang w:eastAsia="zh-CN"/>
        </w:rPr>
        <w:t>翔鹭石化（漳州）有限公司PTA废水处理生化污泥 和TA废料检测 项目</w:t>
      </w:r>
      <w:r>
        <w:rPr>
          <w:rFonts w:hint="eastAsia" w:ascii="Times New Roman" w:hAnsi="Times New Roman" w:cs="Times New Roman"/>
          <w:sz w:val="24"/>
          <w:szCs w:val="24"/>
          <w:lang w:eastAsia="zh-CN"/>
        </w:rPr>
        <w:t>公</w:t>
      </w:r>
      <w:r>
        <w:rPr>
          <w:rFonts w:ascii="Times New Roman" w:hAnsi="Times New Roman" w:cs="Times New Roman"/>
          <w:sz w:val="24"/>
          <w:szCs w:val="24"/>
          <w:lang w:eastAsia="zh-CN"/>
        </w:rPr>
        <w:t>开自主比选，以</w:t>
      </w:r>
      <w:r>
        <w:rPr>
          <w:rFonts w:ascii="Times New Roman" w:hAnsi="Times New Roman" w:cs="Times New Roman"/>
          <w:sz w:val="24"/>
          <w:lang w:eastAsia="zh-CN"/>
        </w:rPr>
        <w:t>本公司名义参与报价、合同执行并处理与之有关的其他事务，相关责任及后果由本公司承担。</w:t>
      </w:r>
    </w:p>
    <w:p w14:paraId="52638F2A">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b/>
          <w:bCs/>
          <w:color w:val="0000FF"/>
          <w:sz w:val="28"/>
          <w:szCs w:val="28"/>
          <w:u w:val="single"/>
          <w:lang w:eastAsia="zh-CN"/>
        </w:rPr>
        <w:t>202</w:t>
      </w:r>
      <w:r>
        <w:rPr>
          <w:rFonts w:hint="eastAsia" w:ascii="Times New Roman" w:hAnsi="Times New Roman" w:cs="Times New Roman"/>
          <w:b/>
          <w:bCs/>
          <w:color w:val="0000FF"/>
          <w:sz w:val="28"/>
          <w:szCs w:val="28"/>
          <w:u w:val="single"/>
          <w:lang w:val="en-US" w:eastAsia="zh-CN"/>
        </w:rPr>
        <w:t>4</w:t>
      </w:r>
      <w:r>
        <w:rPr>
          <w:rFonts w:ascii="Times New Roman" w:hAnsi="Times New Roman" w:cs="Times New Roman"/>
          <w:b/>
          <w:bCs/>
          <w:color w:val="0000FF"/>
          <w:sz w:val="28"/>
          <w:szCs w:val="28"/>
          <w:u w:val="single"/>
          <w:lang w:eastAsia="zh-CN"/>
        </w:rPr>
        <w:t>年</w:t>
      </w:r>
      <w:r>
        <w:rPr>
          <w:rFonts w:hint="eastAsia" w:ascii="Times New Roman" w:hAnsi="Times New Roman" w:cs="Times New Roman"/>
          <w:b/>
          <w:bCs/>
          <w:color w:val="0000FF"/>
          <w:sz w:val="28"/>
          <w:szCs w:val="28"/>
          <w:u w:val="single"/>
          <w:lang w:eastAsia="zh-CN"/>
        </w:rPr>
        <w:t xml:space="preserve">  </w:t>
      </w:r>
      <w:r>
        <w:rPr>
          <w:rFonts w:ascii="Times New Roman" w:hAnsi="Times New Roman" w:cs="Times New Roman"/>
          <w:b/>
          <w:bCs/>
          <w:color w:val="0000FF"/>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14:paraId="7AAE368E">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14:paraId="6EC68288">
      <w:pPr>
        <w:pStyle w:val="58"/>
        <w:spacing w:line="360" w:lineRule="auto"/>
        <w:rPr>
          <w:rFonts w:ascii="Times New Roman" w:hAnsi="Times New Roman"/>
        </w:rPr>
      </w:pPr>
    </w:p>
    <w:p w14:paraId="7FFCD9BF">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14:paraId="5DBF6964">
      <w:pPr>
        <w:spacing w:line="360" w:lineRule="auto"/>
        <w:rPr>
          <w:rFonts w:ascii="Times New Roman" w:hAnsi="Times New Roman" w:cs="Times New Roman"/>
          <w:sz w:val="24"/>
          <w:lang w:eastAsia="zh-CN"/>
        </w:rPr>
      </w:pPr>
    </w:p>
    <w:p w14:paraId="5554632F">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14:paraId="32B57F8F">
      <w:pPr>
        <w:spacing w:line="360" w:lineRule="auto"/>
        <w:rPr>
          <w:rFonts w:ascii="Times New Roman" w:hAnsi="Times New Roman" w:cs="Times New Roman"/>
          <w:sz w:val="24"/>
          <w:lang w:eastAsia="zh-CN"/>
        </w:rPr>
      </w:pPr>
    </w:p>
    <w:p w14:paraId="4AF1A999">
      <w:pPr>
        <w:pStyle w:val="58"/>
        <w:spacing w:line="360" w:lineRule="auto"/>
        <w:rPr>
          <w:rFonts w:ascii="Times New Roman" w:hAnsi="Times New Roman"/>
        </w:rPr>
      </w:pPr>
    </w:p>
    <w:p w14:paraId="2D41C3A5">
      <w:pPr>
        <w:pStyle w:val="58"/>
        <w:spacing w:line="360" w:lineRule="auto"/>
        <w:rPr>
          <w:rFonts w:ascii="Times New Roman" w:hAnsi="Times New Roman"/>
        </w:rPr>
      </w:pPr>
    </w:p>
    <w:p w14:paraId="2AADFF3E">
      <w:pPr>
        <w:pStyle w:val="58"/>
        <w:spacing w:line="360" w:lineRule="auto"/>
        <w:rPr>
          <w:rFonts w:ascii="Times New Roman" w:hAnsi="Times New Roman"/>
        </w:rPr>
      </w:pPr>
    </w:p>
    <w:p w14:paraId="5C65ABC7">
      <w:pPr>
        <w:pStyle w:val="58"/>
        <w:spacing w:line="360" w:lineRule="auto"/>
        <w:rPr>
          <w:rFonts w:ascii="Times New Roman" w:hAnsi="Times New Roman"/>
        </w:rPr>
      </w:pPr>
    </w:p>
    <w:p w14:paraId="1B9F3689">
      <w:pPr>
        <w:pStyle w:val="58"/>
        <w:spacing w:line="360" w:lineRule="auto"/>
        <w:jc w:val="center"/>
        <w:rPr>
          <w:rFonts w:ascii="Times New Roman" w:hAnsi="Times New Roman"/>
        </w:rPr>
      </w:pPr>
      <w:r>
        <w:rPr>
          <w:rFonts w:ascii="Times New Roman" w:hAnsi="Times New Roman"/>
          <w:sz w:val="24"/>
          <w:szCs w:val="24"/>
        </w:rPr>
        <w:t xml:space="preserve">               单位名称：</w:t>
      </w:r>
      <w:r>
        <w:rPr>
          <w:rFonts w:ascii="Times New Roman" w:hAnsi="Times New Roman"/>
          <w:kern w:val="2"/>
          <w:sz w:val="28"/>
          <w:szCs w:val="28"/>
        </w:rPr>
        <w:t>（公章）</w:t>
      </w:r>
    </w:p>
    <w:p w14:paraId="13F99FEE">
      <w:pPr>
        <w:pStyle w:val="58"/>
        <w:spacing w:line="360" w:lineRule="auto"/>
        <w:jc w:val="center"/>
        <w:rPr>
          <w:rFonts w:ascii="Times New Roman" w:hAnsi="Times New Roman"/>
        </w:rPr>
      </w:pPr>
    </w:p>
    <w:p w14:paraId="5619309F">
      <w:pPr>
        <w:pStyle w:val="58"/>
        <w:spacing w:line="360" w:lineRule="auto"/>
        <w:jc w:val="center"/>
        <w:rPr>
          <w:rFonts w:ascii="Times New Roman" w:hAnsi="Times New Roman"/>
        </w:rPr>
      </w:pPr>
    </w:p>
    <w:p w14:paraId="6D6FB673">
      <w:pPr>
        <w:pStyle w:val="58"/>
        <w:spacing w:line="360" w:lineRule="auto"/>
        <w:jc w:val="center"/>
        <w:rPr>
          <w:rFonts w:ascii="Times New Roman" w:hAnsi="Times New Roman"/>
        </w:rPr>
      </w:pPr>
    </w:p>
    <w:p w14:paraId="60C425D1">
      <w:pPr>
        <w:pStyle w:val="58"/>
        <w:spacing w:line="360" w:lineRule="auto"/>
        <w:jc w:val="center"/>
        <w:rPr>
          <w:rFonts w:ascii="Times New Roman" w:hAnsi="Times New Roman"/>
        </w:rPr>
      </w:pPr>
    </w:p>
    <w:p w14:paraId="152A9927">
      <w:pPr>
        <w:pStyle w:val="58"/>
        <w:spacing w:line="360" w:lineRule="auto"/>
        <w:jc w:val="center"/>
        <w:rPr>
          <w:rFonts w:ascii="Times New Roman" w:hAnsi="Times New Roman"/>
        </w:rPr>
      </w:pPr>
    </w:p>
    <w:p w14:paraId="0FD6707A">
      <w:pPr>
        <w:pStyle w:val="58"/>
        <w:spacing w:line="360" w:lineRule="auto"/>
        <w:jc w:val="center"/>
        <w:rPr>
          <w:rFonts w:ascii="Times New Roman" w:hAnsi="Times New Roman"/>
        </w:rPr>
      </w:pPr>
    </w:p>
    <w:p w14:paraId="7AF36575">
      <w:pPr>
        <w:spacing w:line="360" w:lineRule="auto"/>
        <w:jc w:val="center"/>
        <w:rPr>
          <w:rFonts w:ascii="Times New Roman" w:hAnsi="Times New Roman" w:cs="Times New Roman"/>
          <w:b/>
          <w:bCs/>
          <w:sz w:val="36"/>
          <w:szCs w:val="36"/>
          <w:lang w:eastAsia="zh-CN"/>
        </w:rPr>
      </w:pPr>
    </w:p>
    <w:p w14:paraId="4625F5A4">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14:paraId="487D9C0B">
      <w:pPr>
        <w:spacing w:line="360" w:lineRule="auto"/>
        <w:jc w:val="center"/>
        <w:rPr>
          <w:rFonts w:ascii="Times New Roman" w:hAnsi="Times New Roman" w:cs="Times New Roman"/>
          <w:b/>
          <w:bCs/>
          <w:sz w:val="28"/>
          <w:szCs w:val="28"/>
          <w:lang w:eastAsia="zh-CN"/>
        </w:rPr>
      </w:pPr>
    </w:p>
    <w:p w14:paraId="52BFBCE0">
      <w:pPr>
        <w:pStyle w:val="58"/>
        <w:spacing w:line="360" w:lineRule="auto"/>
        <w:jc w:val="center"/>
        <w:rPr>
          <w:rFonts w:ascii="Times New Roman" w:hAnsi="Times New Roman"/>
          <w:b/>
          <w:bCs/>
          <w:sz w:val="28"/>
          <w:szCs w:val="28"/>
        </w:rPr>
      </w:pPr>
    </w:p>
    <w:p w14:paraId="691F0F85">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14:paraId="0B410A28">
      <w:pPr>
        <w:pStyle w:val="58"/>
        <w:spacing w:line="360" w:lineRule="auto"/>
        <w:jc w:val="center"/>
        <w:rPr>
          <w:rFonts w:ascii="Times New Roman" w:hAnsi="Times New Roman"/>
          <w:b/>
          <w:bCs/>
          <w:sz w:val="28"/>
          <w:szCs w:val="28"/>
        </w:rPr>
      </w:pPr>
    </w:p>
    <w:p w14:paraId="4D7F4B4B">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14:paraId="39634619">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（如内容超过一页，可附页）</w:t>
      </w:r>
    </w:p>
    <w:p w14:paraId="6560BD2C">
      <w:pPr>
        <w:spacing w:line="360" w:lineRule="auto"/>
        <w:jc w:val="center"/>
        <w:rPr>
          <w:rFonts w:ascii="Times New Roman" w:hAnsi="Times New Roman" w:cs="Times New Roman"/>
          <w:b/>
          <w:bCs/>
          <w:sz w:val="28"/>
          <w:szCs w:val="28"/>
          <w:lang w:eastAsia="zh-CN"/>
        </w:rPr>
      </w:pPr>
    </w:p>
    <w:p w14:paraId="3A55842B">
      <w:pPr>
        <w:spacing w:line="360" w:lineRule="auto"/>
        <w:jc w:val="center"/>
        <w:rPr>
          <w:rFonts w:ascii="Times New Roman" w:hAnsi="Times New Roman" w:cs="Times New Roman"/>
          <w:b/>
          <w:bCs/>
          <w:sz w:val="28"/>
          <w:szCs w:val="28"/>
          <w:lang w:eastAsia="zh-CN"/>
        </w:rPr>
      </w:pPr>
    </w:p>
    <w:p w14:paraId="4813AF3B">
      <w:pPr>
        <w:pStyle w:val="58"/>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14:paraId="7DD2E9C6">
      <w:pPr>
        <w:pStyle w:val="58"/>
        <w:spacing w:line="360" w:lineRule="auto"/>
        <w:jc w:val="center"/>
        <w:rPr>
          <w:rFonts w:ascii="Times New Roman" w:hAnsi="Times New Roman"/>
          <w:b/>
          <w:bCs/>
          <w:sz w:val="28"/>
          <w:szCs w:val="28"/>
        </w:rPr>
      </w:pPr>
    </w:p>
    <w:p w14:paraId="4D7C0C87">
      <w:pPr>
        <w:pStyle w:val="58"/>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14:paraId="40D50857">
      <w:pPr>
        <w:pStyle w:val="58"/>
        <w:spacing w:line="360" w:lineRule="auto"/>
        <w:jc w:val="center"/>
        <w:rPr>
          <w:rFonts w:ascii="Times New Roman" w:hAnsi="Times New Roman"/>
          <w:b/>
          <w:bCs/>
          <w:sz w:val="28"/>
          <w:szCs w:val="28"/>
        </w:rPr>
      </w:pPr>
    </w:p>
    <w:p w14:paraId="6C1D6FF8">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14:paraId="6AF73440">
      <w:pPr>
        <w:pStyle w:val="76"/>
        <w:spacing w:beforeLines="0" w:afterLines="0"/>
        <w:ind w:firstLine="0" w:firstLineChars="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14:paraId="142CEE49">
      <w:pPr>
        <w:pStyle w:val="76"/>
        <w:spacing w:beforeLines="0" w:afterLines="0"/>
        <w:ind w:firstLine="0" w:firstLineChars="0"/>
        <w:jc w:val="center"/>
        <w:rPr>
          <w:rFonts w:ascii="Times New Roman" w:hAnsi="Times New Roman" w:cs="Times New Roman"/>
          <w:b/>
          <w:lang w:eastAsia="zh-CN"/>
        </w:rPr>
      </w:pPr>
    </w:p>
    <w:p w14:paraId="1AAC24B5">
      <w:pPr>
        <w:pStyle w:val="76"/>
        <w:spacing w:beforeLines="0" w:afterLines="0"/>
        <w:ind w:firstLine="0" w:firstLineChars="0"/>
        <w:jc w:val="center"/>
        <w:rPr>
          <w:rFonts w:ascii="Times New Roman" w:hAnsi="Times New Roman" w:cs="Times New Roman"/>
          <w:b/>
          <w:sz w:val="36"/>
          <w:szCs w:val="36"/>
          <w:lang w:eastAsia="zh-CN"/>
        </w:rPr>
      </w:pPr>
    </w:p>
    <w:p w14:paraId="7116107B">
      <w:pPr>
        <w:pStyle w:val="58"/>
        <w:spacing w:line="360" w:lineRule="auto"/>
        <w:jc w:val="center"/>
        <w:rPr>
          <w:rFonts w:ascii="Times New Roman" w:hAnsi="Times New Roman"/>
        </w:rPr>
      </w:pPr>
    </w:p>
    <w:p w14:paraId="206117A1">
      <w:pPr>
        <w:pStyle w:val="58"/>
        <w:spacing w:line="360" w:lineRule="auto"/>
        <w:jc w:val="center"/>
        <w:rPr>
          <w:rFonts w:ascii="Times New Roman" w:hAnsi="Times New Roman"/>
        </w:rPr>
      </w:pPr>
    </w:p>
    <w:p w14:paraId="339A3604">
      <w:pPr>
        <w:pStyle w:val="58"/>
        <w:spacing w:line="360" w:lineRule="auto"/>
        <w:jc w:val="center"/>
        <w:rPr>
          <w:rFonts w:ascii="Times New Roman" w:hAnsi="Times New Roman"/>
        </w:rPr>
      </w:pPr>
    </w:p>
    <w:p w14:paraId="35B43E14">
      <w:pPr>
        <w:pStyle w:val="58"/>
        <w:spacing w:line="360" w:lineRule="auto"/>
        <w:jc w:val="center"/>
        <w:rPr>
          <w:rFonts w:ascii="Times New Roman" w:hAnsi="Times New Roman"/>
        </w:rPr>
      </w:pPr>
    </w:p>
    <w:p w14:paraId="46CB8874">
      <w:pPr>
        <w:pStyle w:val="58"/>
        <w:spacing w:line="360" w:lineRule="auto"/>
        <w:jc w:val="center"/>
        <w:rPr>
          <w:rFonts w:ascii="Times New Roman" w:hAnsi="Times New Roman"/>
        </w:rPr>
      </w:pPr>
    </w:p>
    <w:p w14:paraId="19A59941">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14:paraId="3A988BF5">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14:paraId="211335C3">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14:paraId="4EDF95B8">
      <w:pPr>
        <w:spacing w:line="360" w:lineRule="auto"/>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4"/>
          <w:szCs w:val="24"/>
          <w:lang w:eastAsia="zh-CN"/>
        </w:rPr>
        <w:t xml:space="preserve"> </w:t>
      </w:r>
      <w:r>
        <w:rPr>
          <w:rFonts w:hint="eastAsia" w:ascii="Times New Roman" w:hAnsi="Times New Roman" w:cs="Times New Roman"/>
          <w:sz w:val="28"/>
          <w:szCs w:val="28"/>
          <w:u w:val="single"/>
          <w:lang w:eastAsia="zh-CN"/>
        </w:rPr>
        <w:t xml:space="preserve">翔鹭石化（漳州）有限公司PTA废水处理生化污泥 和TA废料检测 </w:t>
      </w:r>
      <w:r>
        <w:rPr>
          <w:rFonts w:hint="eastAsia" w:ascii="Times New Roman" w:hAnsi="Times New Roman" w:cs="Times New Roman"/>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34BEC61A">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14:paraId="15392C5D">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14:paraId="7D851ED0">
      <w:pPr>
        <w:pStyle w:val="209"/>
        <w:spacing w:line="360" w:lineRule="auto"/>
        <w:rPr>
          <w:rFonts w:ascii="Times New Roman" w:hAnsi="Times New Roman" w:cs="Times New Roman"/>
          <w:szCs w:val="24"/>
          <w:lang w:eastAsia="zh-CN"/>
        </w:rPr>
      </w:pPr>
    </w:p>
    <w:p w14:paraId="0765900D">
      <w:pPr>
        <w:pStyle w:val="210"/>
        <w:rPr>
          <w:lang w:eastAsia="zh-CN"/>
        </w:rPr>
      </w:pPr>
    </w:p>
    <w:p w14:paraId="35FEA006">
      <w:pPr>
        <w:pStyle w:val="210"/>
        <w:rPr>
          <w:rFonts w:ascii="Times New Roman"/>
          <w:b/>
          <w:sz w:val="32"/>
          <w:szCs w:val="32"/>
          <w:lang w:eastAsia="zh-CN"/>
        </w:rPr>
      </w:pPr>
    </w:p>
    <w:p w14:paraId="7B5C25FA">
      <w:pPr>
        <w:pStyle w:val="210"/>
        <w:rPr>
          <w:rFonts w:ascii="Times New Roman"/>
          <w:b/>
          <w:sz w:val="32"/>
          <w:szCs w:val="32"/>
          <w:lang w:eastAsia="zh-CN"/>
        </w:rPr>
      </w:pPr>
    </w:p>
    <w:p w14:paraId="4E1BDE07">
      <w:pPr>
        <w:spacing w:line="360" w:lineRule="auto"/>
        <w:ind w:firstLine="560" w:firstLineChars="200"/>
        <w:jc w:val="right"/>
        <w:rPr>
          <w:rFonts w:ascii="Times New Roman" w:hAnsi="Times New Roman" w:cs="Times New Roman"/>
          <w:sz w:val="28"/>
          <w:lang w:eastAsia="zh-CN"/>
        </w:rPr>
      </w:pPr>
    </w:p>
    <w:p w14:paraId="3F034FDF">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14:paraId="195D87E5">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14:paraId="288FFAF1">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14:paraId="167CF07F">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bookmarkEnd w:id="0"/>
    </w:p>
    <w:p w14:paraId="3168FB90">
      <w:pPr>
        <w:pStyle w:val="58"/>
        <w:spacing w:line="360" w:lineRule="auto"/>
        <w:rPr>
          <w:rFonts w:asciiTheme="minorEastAsia" w:hAnsiTheme="minorEastAsia" w:eastAsiaTheme="minorEastAsia"/>
          <w:sz w:val="24"/>
          <w:szCs w:val="24"/>
        </w:rPr>
      </w:pPr>
    </w:p>
    <w:p w14:paraId="71A871E9">
      <w:pPr>
        <w:pStyle w:val="58"/>
        <w:spacing w:line="360" w:lineRule="auto"/>
        <w:rPr>
          <w:rFonts w:asciiTheme="minorEastAsia" w:hAnsiTheme="minorEastAsia" w:eastAsiaTheme="minorEastAsia"/>
          <w:sz w:val="24"/>
          <w:szCs w:val="24"/>
        </w:rPr>
      </w:pPr>
    </w:p>
    <w:p w14:paraId="76B0E6F3">
      <w:pPr>
        <w:pStyle w:val="58"/>
        <w:spacing w:line="360" w:lineRule="auto"/>
        <w:rPr>
          <w:rFonts w:asciiTheme="minorEastAsia" w:hAnsiTheme="minorEastAsia" w:eastAsiaTheme="minorEastAsia"/>
          <w:sz w:val="24"/>
          <w:szCs w:val="24"/>
        </w:rPr>
      </w:pPr>
    </w:p>
    <w:p w14:paraId="1FC9D909">
      <w:pPr>
        <w:pStyle w:val="58"/>
        <w:spacing w:line="360" w:lineRule="auto"/>
        <w:rPr>
          <w:rFonts w:asciiTheme="minorEastAsia" w:hAnsiTheme="minorEastAsia" w:eastAsiaTheme="minorEastAsia"/>
          <w:sz w:val="24"/>
          <w:szCs w:val="24"/>
        </w:rPr>
      </w:pPr>
    </w:p>
    <w:p w14:paraId="22B29E64">
      <w:pPr>
        <w:pStyle w:val="58"/>
        <w:spacing w:line="360" w:lineRule="auto"/>
        <w:rPr>
          <w:rFonts w:asciiTheme="minorEastAsia" w:hAnsiTheme="minorEastAsia" w:eastAsiaTheme="minorEastAsia"/>
          <w:sz w:val="24"/>
          <w:szCs w:val="24"/>
        </w:rPr>
      </w:pPr>
    </w:p>
    <w:p w14:paraId="14BF1FDA">
      <w:pPr>
        <w:pStyle w:val="58"/>
        <w:spacing w:line="360" w:lineRule="auto"/>
        <w:rPr>
          <w:rFonts w:asciiTheme="minorEastAsia" w:hAnsiTheme="minorEastAsia" w:eastAsiaTheme="minorEastAsia"/>
          <w:sz w:val="24"/>
          <w:szCs w:val="24"/>
        </w:rPr>
      </w:pPr>
    </w:p>
    <w:p w14:paraId="3C25FCCE">
      <w:pPr>
        <w:pStyle w:val="58"/>
        <w:spacing w:line="360" w:lineRule="auto"/>
        <w:rPr>
          <w:rFonts w:asciiTheme="minorEastAsia" w:hAnsiTheme="minorEastAsia" w:eastAsiaTheme="minorEastAsia"/>
          <w:sz w:val="24"/>
          <w:szCs w:val="24"/>
        </w:rPr>
      </w:pPr>
    </w:p>
    <w:p w14:paraId="7D0BF442">
      <w:pPr>
        <w:pStyle w:val="58"/>
        <w:spacing w:line="360" w:lineRule="auto"/>
        <w:rPr>
          <w:rFonts w:asciiTheme="minorEastAsia" w:hAnsiTheme="minorEastAsia" w:eastAsiaTheme="minorEastAsia"/>
          <w:sz w:val="24"/>
          <w:szCs w:val="24"/>
        </w:rPr>
      </w:pPr>
    </w:p>
    <w:p w14:paraId="67C791F9">
      <w:pPr>
        <w:pStyle w:val="58"/>
        <w:spacing w:line="360" w:lineRule="auto"/>
        <w:rPr>
          <w:rFonts w:asciiTheme="minorEastAsia" w:hAnsiTheme="minorEastAsia" w:eastAsiaTheme="minorEastAsia"/>
          <w:sz w:val="24"/>
          <w:szCs w:val="24"/>
        </w:rPr>
      </w:pPr>
    </w:p>
    <w:p w14:paraId="3D62DC6D">
      <w:pPr>
        <w:pStyle w:val="58"/>
        <w:spacing w:line="360" w:lineRule="auto"/>
        <w:rPr>
          <w:rFonts w:asciiTheme="minorEastAsia" w:hAnsiTheme="minorEastAsia" w:eastAsiaTheme="minorEastAsia"/>
          <w:sz w:val="24"/>
          <w:szCs w:val="24"/>
        </w:rPr>
      </w:pPr>
    </w:p>
    <w:p w14:paraId="28A8A4FF">
      <w:pPr>
        <w:pStyle w:val="58"/>
        <w:spacing w:line="360" w:lineRule="auto"/>
        <w:rPr>
          <w:rFonts w:asciiTheme="minorEastAsia" w:hAnsiTheme="minorEastAsia" w:eastAsiaTheme="minorEastAsia"/>
          <w:sz w:val="24"/>
          <w:szCs w:val="24"/>
        </w:rPr>
      </w:pPr>
    </w:p>
    <w:p w14:paraId="1D099581">
      <w:pPr>
        <w:pStyle w:val="58"/>
        <w:spacing w:line="360" w:lineRule="auto"/>
        <w:rPr>
          <w:rFonts w:asciiTheme="minorEastAsia" w:hAnsiTheme="minorEastAsia" w:eastAsiaTheme="minorEastAsia"/>
          <w:sz w:val="24"/>
          <w:szCs w:val="24"/>
        </w:rPr>
      </w:pPr>
    </w:p>
    <w:p w14:paraId="16202C9C">
      <w:pPr>
        <w:pStyle w:val="58"/>
        <w:spacing w:line="360" w:lineRule="auto"/>
        <w:rPr>
          <w:rFonts w:hAnsi="宋体" w:cs="宋体"/>
          <w:b/>
          <w:bCs/>
          <w:sz w:val="24"/>
          <w:szCs w:val="24"/>
        </w:rPr>
      </w:pPr>
      <w:r>
        <w:rPr>
          <w:rFonts w:hint="eastAsia" w:hAnsi="宋体" w:cs="宋体"/>
          <w:b/>
          <w:bCs/>
          <w:sz w:val="24"/>
          <w:szCs w:val="24"/>
        </w:rPr>
        <w:t>附件四</w:t>
      </w:r>
    </w:p>
    <w:p w14:paraId="67BA3570">
      <w:pPr>
        <w:pStyle w:val="58"/>
        <w:spacing w:line="360" w:lineRule="auto"/>
        <w:rPr>
          <w:rFonts w:asciiTheme="minorEastAsia" w:hAnsiTheme="minorEastAsia" w:eastAsiaTheme="minorEastAsia"/>
          <w:b/>
          <w:bCs/>
          <w:sz w:val="24"/>
          <w:szCs w:val="24"/>
        </w:rPr>
      </w:pPr>
    </w:p>
    <w:p w14:paraId="0264A9C2">
      <w:pPr>
        <w:ind w:firstLine="1590" w:firstLineChars="495"/>
        <w:rPr>
          <w:rFonts w:hint="eastAsia" w:asciiTheme="minorEastAsia" w:hAnsiTheme="minorEastAsia"/>
          <w:b/>
          <w:sz w:val="32"/>
          <w:szCs w:val="32"/>
        </w:rPr>
      </w:pPr>
      <w:r>
        <w:rPr>
          <w:rFonts w:hint="eastAsia" w:asciiTheme="minorEastAsia" w:hAnsiTheme="minorEastAsia"/>
          <w:b/>
          <w:sz w:val="32"/>
          <w:szCs w:val="32"/>
        </w:rPr>
        <w:t>生化污泥和TA废料浸出毒性分析检测</w:t>
      </w:r>
      <w:r>
        <w:rPr>
          <w:rFonts w:asciiTheme="minorEastAsia" w:hAnsiTheme="minorEastAsia"/>
          <w:b/>
          <w:sz w:val="32"/>
          <w:szCs w:val="32"/>
        </w:rPr>
        <w:t>—</w:t>
      </w:r>
      <w:r>
        <w:rPr>
          <w:rFonts w:hint="eastAsia" w:asciiTheme="minorEastAsia" w:hAnsiTheme="minorEastAsia"/>
          <w:b/>
          <w:sz w:val="32"/>
          <w:szCs w:val="32"/>
        </w:rPr>
        <w:t>技术协议</w:t>
      </w:r>
    </w:p>
    <w:p w14:paraId="35C8CC6F">
      <w:pPr>
        <w:pStyle w:val="253"/>
        <w:numPr>
          <w:ilvl w:val="0"/>
          <w:numId w:val="9"/>
        </w:numPr>
        <w:ind w:firstLineChars="0"/>
        <w:rPr>
          <w:b/>
          <w:sz w:val="28"/>
          <w:szCs w:val="28"/>
        </w:rPr>
      </w:pPr>
      <w:r>
        <w:rPr>
          <w:rFonts w:hint="eastAsia" w:cs="宋体" w:asciiTheme="majorEastAsia" w:hAnsiTheme="majorEastAsia" w:eastAsiaTheme="majorEastAsia"/>
          <w:b/>
          <w:bCs/>
          <w:kern w:val="0"/>
          <w:sz w:val="24"/>
          <w:szCs w:val="20"/>
          <w:lang w:val="zh-CN" w:eastAsia="zh-CN"/>
        </w:rPr>
        <w:t>案由：</w:t>
      </w:r>
    </w:p>
    <w:p w14:paraId="056F0A3A">
      <w:pPr>
        <w:spacing w:line="360" w:lineRule="auto"/>
        <w:ind w:firstLine="480" w:firstLineChars="200"/>
        <w:rPr>
          <w:rFonts w:hint="eastAsia" w:cs="宋体" w:asciiTheme="majorEastAsia" w:hAnsiTheme="majorEastAsia" w:eastAsiaTheme="majorEastAsia"/>
          <w:kern w:val="0"/>
          <w:sz w:val="24"/>
          <w:szCs w:val="20"/>
          <w:lang w:val="zh-CN" w:eastAsia="zh-CN"/>
        </w:rPr>
      </w:pPr>
      <w:r>
        <w:rPr>
          <w:rFonts w:hint="eastAsia" w:cs="宋体" w:asciiTheme="majorEastAsia" w:hAnsiTheme="majorEastAsia" w:eastAsiaTheme="majorEastAsia"/>
          <w:kern w:val="0"/>
          <w:sz w:val="24"/>
          <w:szCs w:val="20"/>
          <w:lang w:val="zh-CN" w:eastAsia="zh-CN"/>
        </w:rPr>
        <w:t>我司450万吨/年精对苯二甲酸项目废水处理生化污泥 和TA废料于2018年委托特性检测，被鉴别为不具有危险特性，不属于危险废物。依漳州市固体废物与化学品环境管理技术中心于2018年7月主持召开的“鉴别报告”论证会，参会组织或人员：漳州市环保局古雷分局、翔鹭石化（漳州）有限公司、福建省金皇环保科技有限公司（报告编制单位）、通标标准技术服务有限公司（检测分析单位）及3人专家组，形成的意见或决议，其中有包括要求我司加强环境日常管理，定期开展废水处理生化污泥和TA废料中钴、锰的浸出毒性和毒性物质含量的跟踪监测。我司据此对此两种非危险固废进行跟踪性监测发包。</w:t>
      </w:r>
    </w:p>
    <w:p w14:paraId="79760022">
      <w:pPr>
        <w:spacing w:line="360" w:lineRule="auto"/>
        <w:rPr>
          <w:rFonts w:hint="eastAsia" w:cs="宋体" w:asciiTheme="majorEastAsia" w:hAnsiTheme="majorEastAsia" w:eastAsiaTheme="majorEastAsia"/>
          <w:b/>
          <w:bCs/>
          <w:kern w:val="0"/>
          <w:sz w:val="24"/>
          <w:szCs w:val="20"/>
          <w:lang w:val="zh-CN" w:eastAsia="zh-CN"/>
        </w:rPr>
      </w:pPr>
      <w:r>
        <w:rPr>
          <w:rFonts w:hint="eastAsia" w:cs="宋体" w:asciiTheme="majorEastAsia" w:hAnsiTheme="majorEastAsia" w:eastAsiaTheme="majorEastAsia"/>
          <w:b/>
          <w:bCs/>
          <w:kern w:val="0"/>
          <w:sz w:val="24"/>
          <w:szCs w:val="20"/>
          <w:lang w:val="zh-CN" w:eastAsia="zh-CN"/>
        </w:rPr>
        <w:t>二、 发包技术要求：</w:t>
      </w:r>
    </w:p>
    <w:p w14:paraId="5A815AB1">
      <w:pPr>
        <w:pStyle w:val="77"/>
        <w:spacing w:line="360" w:lineRule="auto"/>
        <w:jc w:val="both"/>
        <w:rPr>
          <w:rFonts w:hint="eastAsia" w:cs="宋体" w:asciiTheme="majorEastAsia" w:hAnsiTheme="majorEastAsia" w:eastAsiaTheme="majorEastAsia"/>
          <w:color w:val="auto"/>
          <w:szCs w:val="20"/>
          <w:lang w:val="zh-CN" w:eastAsia="zh-CN"/>
        </w:rPr>
      </w:pPr>
      <w:r>
        <w:rPr>
          <w:rFonts w:hint="eastAsia" w:cs="宋体" w:asciiTheme="majorEastAsia" w:hAnsiTheme="majorEastAsia" w:eastAsiaTheme="majorEastAsia"/>
          <w:color w:val="auto"/>
          <w:szCs w:val="20"/>
          <w:lang w:val="zh-CN" w:eastAsia="zh-CN"/>
        </w:rPr>
        <w:t>1、检测依据标准：《危险废物鉴别标准 浸出毒性鉴别》GB5085.3-2007</w:t>
      </w:r>
    </w:p>
    <w:p w14:paraId="5176662A">
      <w:pPr>
        <w:spacing w:line="360" w:lineRule="auto"/>
        <w:rPr>
          <w:rFonts w:hint="eastAsia" w:cs="宋体" w:asciiTheme="majorEastAsia" w:hAnsiTheme="majorEastAsia" w:eastAsiaTheme="majorEastAsia"/>
          <w:kern w:val="0"/>
          <w:sz w:val="24"/>
          <w:szCs w:val="20"/>
          <w:lang w:val="zh-CN" w:eastAsia="zh-CN"/>
        </w:rPr>
      </w:pPr>
      <w:r>
        <w:rPr>
          <w:rFonts w:hint="eastAsia" w:cs="宋体" w:asciiTheme="majorEastAsia" w:hAnsiTheme="majorEastAsia" w:eastAsiaTheme="majorEastAsia"/>
          <w:kern w:val="0"/>
          <w:sz w:val="24"/>
          <w:szCs w:val="20"/>
          <w:lang w:val="zh-CN" w:eastAsia="zh-CN"/>
        </w:rPr>
        <w:t>2、检测分析项目：金属钴、锰的浸出毒性和其它毒性物质含量的分析检测。</w:t>
      </w:r>
    </w:p>
    <w:p w14:paraId="25F244DF">
      <w:pPr>
        <w:pStyle w:val="77"/>
        <w:spacing w:line="360" w:lineRule="auto"/>
        <w:jc w:val="both"/>
        <w:rPr>
          <w:rFonts w:hint="eastAsia" w:cs="宋体" w:asciiTheme="majorEastAsia" w:hAnsiTheme="majorEastAsia" w:eastAsiaTheme="majorEastAsia"/>
          <w:color w:val="auto"/>
          <w:szCs w:val="20"/>
          <w:lang w:val="zh-CN" w:eastAsia="zh-CN"/>
        </w:rPr>
      </w:pPr>
      <w:r>
        <w:rPr>
          <w:rFonts w:hint="eastAsia" w:cs="宋体" w:asciiTheme="majorEastAsia" w:hAnsiTheme="majorEastAsia" w:eastAsiaTheme="majorEastAsia"/>
          <w:color w:val="auto"/>
          <w:szCs w:val="20"/>
          <w:lang w:val="zh-CN" w:eastAsia="zh-CN"/>
        </w:rPr>
        <w:t>3、监测单位资质要求：持有效的省级（含）以上质量技术监督部门颁发的计量认证证书和取得CMA计量认证资质，并提供包括技术协议所需检测项目方法证明文件的CMA证书附表。</w:t>
      </w:r>
    </w:p>
    <w:p w14:paraId="52602EB4">
      <w:pPr>
        <w:pStyle w:val="77"/>
        <w:spacing w:line="360" w:lineRule="auto"/>
        <w:jc w:val="both"/>
        <w:rPr>
          <w:rFonts w:hint="eastAsia" w:cs="宋体" w:asciiTheme="majorEastAsia" w:hAnsiTheme="majorEastAsia" w:eastAsiaTheme="majorEastAsia"/>
          <w:color w:val="auto"/>
          <w:szCs w:val="20"/>
          <w:lang w:val="zh-CN" w:eastAsia="zh-CN"/>
        </w:rPr>
      </w:pPr>
      <w:r>
        <w:rPr>
          <w:rFonts w:hint="eastAsia" w:cs="宋体" w:asciiTheme="majorEastAsia" w:hAnsiTheme="majorEastAsia" w:eastAsiaTheme="majorEastAsia"/>
          <w:color w:val="auto"/>
          <w:szCs w:val="20"/>
          <w:lang w:val="zh-CN" w:eastAsia="zh-CN"/>
        </w:rPr>
        <w:t>4、监测单位使用的计量检测器、设备及计量器等监测仪器需进行检定、校准或核查，并在有效期内使用。</w:t>
      </w:r>
    </w:p>
    <w:p w14:paraId="75FD4A6C">
      <w:pPr>
        <w:pStyle w:val="77"/>
        <w:spacing w:line="360" w:lineRule="auto"/>
        <w:jc w:val="both"/>
        <w:rPr>
          <w:rFonts w:hint="eastAsia" w:cs="宋体" w:asciiTheme="majorEastAsia" w:hAnsiTheme="majorEastAsia" w:eastAsiaTheme="majorEastAsia"/>
          <w:color w:val="auto"/>
          <w:szCs w:val="20"/>
          <w:lang w:val="zh-CN" w:eastAsia="zh-CN"/>
        </w:rPr>
      </w:pPr>
      <w:r>
        <w:rPr>
          <w:rFonts w:hint="eastAsia" w:cs="宋体" w:asciiTheme="majorEastAsia" w:hAnsiTheme="majorEastAsia" w:eastAsiaTheme="majorEastAsia"/>
          <w:color w:val="auto"/>
          <w:szCs w:val="20"/>
          <w:lang w:val="zh-CN" w:eastAsia="zh-CN"/>
        </w:rPr>
        <w:t>5、监测单位应提供计划采样检测时间表，以便甲方据需要派员参与或监护过程。</w:t>
      </w:r>
    </w:p>
    <w:p w14:paraId="24BC6938">
      <w:pPr>
        <w:pStyle w:val="77"/>
        <w:spacing w:line="360" w:lineRule="auto"/>
        <w:jc w:val="both"/>
        <w:rPr>
          <w:rFonts w:hint="eastAsia" w:cs="宋体" w:asciiTheme="majorEastAsia" w:hAnsiTheme="majorEastAsia" w:eastAsiaTheme="majorEastAsia"/>
          <w:color w:val="auto"/>
          <w:szCs w:val="20"/>
          <w:lang w:val="zh-CN" w:eastAsia="zh-CN"/>
        </w:rPr>
      </w:pPr>
      <w:r>
        <w:rPr>
          <w:rFonts w:hint="eastAsia" w:cs="宋体" w:asciiTheme="majorEastAsia" w:hAnsiTheme="majorEastAsia" w:eastAsiaTheme="majorEastAsia"/>
          <w:color w:val="auto"/>
          <w:szCs w:val="20"/>
          <w:lang w:val="zh-CN" w:eastAsia="zh-CN"/>
        </w:rPr>
        <w:t>6、按照监测项目内容要求，及时提交检测结果报告。报告内容应包括但不限于：各检测项目的化验分析数据列表、监测结果分析与环境改善建议等。</w:t>
      </w:r>
    </w:p>
    <w:p w14:paraId="5C825F87">
      <w:pPr>
        <w:pStyle w:val="77"/>
        <w:numPr>
          <w:ilvl w:val="0"/>
          <w:numId w:val="10"/>
        </w:numPr>
        <w:spacing w:line="360" w:lineRule="auto"/>
        <w:jc w:val="both"/>
        <w:rPr>
          <w:rFonts w:hint="eastAsia" w:asciiTheme="minorEastAsia" w:hAnsiTheme="minorEastAsia" w:eastAsiaTheme="minorEastAsia" w:cstheme="minorBidi"/>
          <w:color w:val="auto"/>
          <w:kern w:val="2"/>
          <w:sz w:val="28"/>
          <w:szCs w:val="28"/>
        </w:rPr>
      </w:pPr>
      <w:r>
        <w:rPr>
          <w:rFonts w:asciiTheme="minorEastAsia" w:hAnsiTheme="minorEastAsia" w:eastAsiaTheme="minorEastAsia" w:cstheme="minorBidi"/>
          <w:b/>
          <w:color w:val="auto"/>
          <w:kern w:val="2"/>
          <w:sz w:val="28"/>
          <w:szCs w:val="28"/>
        </w:rPr>
        <w:t>生化污泥跟踪监测要求</w:t>
      </w:r>
      <w:r>
        <w:rPr>
          <w:rFonts w:hint="eastAsia" w:asciiTheme="minorEastAsia" w:hAnsiTheme="minorEastAsia" w:eastAsiaTheme="minorEastAsia" w:cstheme="minorBidi"/>
          <w:b/>
          <w:color w:val="auto"/>
          <w:kern w:val="2"/>
          <w:sz w:val="28"/>
          <w:szCs w:val="28"/>
        </w:rPr>
        <w:t>:</w:t>
      </w:r>
    </w:p>
    <w:p w14:paraId="0FA23695">
      <w:pPr>
        <w:spacing w:line="360" w:lineRule="auto"/>
        <w:rPr>
          <w:rFonts w:hint="eastAsia" w:cs="宋体" w:asciiTheme="majorEastAsia" w:hAnsiTheme="majorEastAsia" w:eastAsiaTheme="majorEastAsia"/>
          <w:kern w:val="0"/>
          <w:sz w:val="24"/>
          <w:szCs w:val="20"/>
          <w:lang w:val="zh-CN" w:eastAsia="zh-CN"/>
        </w:rPr>
      </w:pPr>
      <w:r>
        <w:rPr>
          <w:rFonts w:hint="eastAsia" w:cs="宋体" w:asciiTheme="majorEastAsia" w:hAnsiTheme="majorEastAsia" w:eastAsiaTheme="majorEastAsia"/>
          <w:kern w:val="0"/>
          <w:sz w:val="24"/>
          <w:szCs w:val="20"/>
          <w:lang w:val="zh-CN" w:eastAsia="zh-CN"/>
        </w:rPr>
        <w:t>1、</w:t>
      </w:r>
      <w:r>
        <w:rPr>
          <w:rFonts w:cs="宋体" w:asciiTheme="majorEastAsia" w:hAnsiTheme="majorEastAsia" w:eastAsiaTheme="majorEastAsia"/>
          <w:kern w:val="0"/>
          <w:sz w:val="24"/>
          <w:szCs w:val="20"/>
          <w:lang w:val="zh-CN" w:eastAsia="zh-CN"/>
        </w:rPr>
        <w:t>浸出毒性鉴别</w:t>
      </w:r>
      <w:r>
        <w:rPr>
          <w:rFonts w:hint="eastAsia" w:cs="宋体" w:asciiTheme="majorEastAsia" w:hAnsiTheme="majorEastAsia" w:eastAsiaTheme="majorEastAsia"/>
          <w:kern w:val="0"/>
          <w:sz w:val="24"/>
          <w:szCs w:val="20"/>
          <w:lang w:val="zh-CN" w:eastAsia="zh-CN"/>
        </w:rPr>
        <w:t>检测</w:t>
      </w:r>
      <w:r>
        <w:rPr>
          <w:rFonts w:cs="宋体" w:asciiTheme="majorEastAsia" w:hAnsiTheme="majorEastAsia" w:eastAsiaTheme="majorEastAsia"/>
          <w:kern w:val="0"/>
          <w:sz w:val="24"/>
          <w:szCs w:val="20"/>
          <w:lang w:val="zh-CN" w:eastAsia="zh-CN"/>
        </w:rPr>
        <w:t>项目</w:t>
      </w:r>
      <w:r>
        <w:rPr>
          <w:rFonts w:hint="eastAsia" w:cs="宋体" w:asciiTheme="majorEastAsia" w:hAnsiTheme="majorEastAsia" w:eastAsiaTheme="majorEastAsia"/>
          <w:kern w:val="0"/>
          <w:sz w:val="24"/>
          <w:szCs w:val="20"/>
          <w:lang w:val="zh-CN" w:eastAsia="zh-CN"/>
        </w:rPr>
        <w:t>:</w:t>
      </w:r>
    </w:p>
    <w:p w14:paraId="61D08F51">
      <w:pPr>
        <w:pStyle w:val="254"/>
        <w:ind w:firstLine="480"/>
        <w:rPr>
          <w:rFonts w:hint="eastAsia" w:cs="宋体" w:asciiTheme="majorEastAsia" w:hAnsiTheme="majorEastAsia" w:eastAsiaTheme="majorEastAsia"/>
          <w:color w:val="auto"/>
          <w:kern w:val="0"/>
          <w:szCs w:val="20"/>
          <w:lang w:val="zh-CN" w:eastAsia="zh-CN"/>
        </w:rPr>
      </w:pPr>
      <w:r>
        <w:rPr>
          <w:rFonts w:hint="eastAsia" w:cs="宋体" w:asciiTheme="majorEastAsia" w:hAnsiTheme="majorEastAsia" w:eastAsiaTheme="majorEastAsia"/>
          <w:color w:val="auto"/>
          <w:kern w:val="0"/>
          <w:szCs w:val="20"/>
          <w:lang w:val="zh-CN" w:eastAsia="zh-CN"/>
        </w:rPr>
        <w:t>（一）、</w:t>
      </w:r>
      <w:r>
        <w:rPr>
          <w:rFonts w:cs="宋体" w:asciiTheme="majorEastAsia" w:hAnsiTheme="majorEastAsia" w:eastAsiaTheme="majorEastAsia"/>
          <w:color w:val="auto"/>
          <w:kern w:val="0"/>
          <w:szCs w:val="20"/>
          <w:lang w:val="zh-CN" w:eastAsia="zh-CN"/>
        </w:rPr>
        <w:t>本次浸出毒性鉴别选取铅、铬、镍、砷、银和二甲苯</w:t>
      </w:r>
      <w:r>
        <w:rPr>
          <w:rFonts w:hint="eastAsia" w:cs="宋体" w:asciiTheme="majorEastAsia" w:hAnsiTheme="majorEastAsia" w:eastAsiaTheme="majorEastAsia"/>
          <w:color w:val="auto"/>
          <w:kern w:val="0"/>
          <w:szCs w:val="20"/>
          <w:lang w:val="zh-CN" w:eastAsia="zh-CN"/>
        </w:rPr>
        <w:t>，</w:t>
      </w:r>
      <w:r>
        <w:rPr>
          <w:rFonts w:cs="宋体" w:asciiTheme="majorEastAsia" w:hAnsiTheme="majorEastAsia" w:eastAsiaTheme="majorEastAsia"/>
          <w:color w:val="auto"/>
          <w:kern w:val="0"/>
          <w:szCs w:val="20"/>
          <w:lang w:val="zh-CN" w:eastAsia="zh-CN"/>
        </w:rPr>
        <w:t>共6个检测</w:t>
      </w:r>
      <w:r>
        <w:rPr>
          <w:rFonts w:hint="eastAsia" w:cs="宋体" w:asciiTheme="majorEastAsia" w:hAnsiTheme="majorEastAsia" w:eastAsiaTheme="majorEastAsia"/>
          <w:color w:val="auto"/>
          <w:kern w:val="0"/>
          <w:szCs w:val="20"/>
          <w:lang w:val="zh-CN" w:eastAsia="zh-CN"/>
        </w:rPr>
        <w:t>项目</w:t>
      </w:r>
      <w:r>
        <w:rPr>
          <w:rFonts w:cs="宋体" w:asciiTheme="majorEastAsia" w:hAnsiTheme="majorEastAsia" w:eastAsiaTheme="majorEastAsia"/>
          <w:color w:val="auto"/>
          <w:kern w:val="0"/>
          <w:szCs w:val="20"/>
          <w:lang w:val="zh-CN" w:eastAsia="zh-CN"/>
        </w:rPr>
        <w:t>。</w:t>
      </w:r>
    </w:p>
    <w:p w14:paraId="637794EB">
      <w:pPr>
        <w:pStyle w:val="254"/>
        <w:ind w:firstLine="480"/>
        <w:rPr>
          <w:rFonts w:hint="eastAsia" w:cs="宋体" w:asciiTheme="majorEastAsia" w:hAnsiTheme="majorEastAsia" w:eastAsiaTheme="majorEastAsia"/>
          <w:color w:val="auto"/>
          <w:kern w:val="0"/>
          <w:szCs w:val="20"/>
          <w:lang w:val="zh-CN" w:eastAsia="zh-CN"/>
        </w:rPr>
      </w:pPr>
      <w:r>
        <w:rPr>
          <w:rFonts w:hint="eastAsia" w:cs="宋体" w:asciiTheme="majorEastAsia" w:hAnsiTheme="majorEastAsia" w:eastAsiaTheme="majorEastAsia"/>
          <w:color w:val="auto"/>
          <w:kern w:val="0"/>
          <w:szCs w:val="20"/>
          <w:lang w:val="zh-CN" w:eastAsia="zh-CN"/>
        </w:rPr>
        <w:t>（二）浸出毒性鉴别检测方法、</w:t>
      </w:r>
      <w:r>
        <w:rPr>
          <w:rFonts w:cs="宋体" w:asciiTheme="majorEastAsia" w:hAnsiTheme="majorEastAsia" w:eastAsiaTheme="majorEastAsia"/>
          <w:color w:val="auto"/>
          <w:kern w:val="0"/>
          <w:szCs w:val="20"/>
          <w:lang w:val="zh-CN" w:eastAsia="zh-CN"/>
        </w:rPr>
        <w:t>来源</w:t>
      </w:r>
      <w:r>
        <w:rPr>
          <w:rFonts w:hint="eastAsia" w:cs="宋体" w:asciiTheme="majorEastAsia" w:hAnsiTheme="majorEastAsia" w:eastAsiaTheme="majorEastAsia"/>
          <w:color w:val="auto"/>
          <w:kern w:val="0"/>
          <w:szCs w:val="20"/>
          <w:lang w:val="zh-CN" w:eastAsia="zh-CN"/>
        </w:rPr>
        <w:t>、设备及最低检出限，如下表：</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2214"/>
        <w:gridCol w:w="2610"/>
        <w:gridCol w:w="1994"/>
        <w:gridCol w:w="1650"/>
      </w:tblGrid>
      <w:tr w14:paraId="4630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5587D59E">
            <w:pPr>
              <w:pStyle w:val="255"/>
              <w:rPr>
                <w:rFonts w:hint="eastAsia" w:asciiTheme="majorEastAsia" w:hAnsiTheme="majorEastAsia" w:eastAsiaTheme="majorEastAsia"/>
                <w:b/>
                <w:szCs w:val="21"/>
              </w:rPr>
            </w:pPr>
            <w:r>
              <w:rPr>
                <w:rFonts w:asciiTheme="majorEastAsia" w:hAnsiTheme="majorEastAsia" w:eastAsiaTheme="majorEastAsia"/>
                <w:b/>
                <w:szCs w:val="21"/>
              </w:rPr>
              <w:t>项目名称</w:t>
            </w:r>
          </w:p>
        </w:tc>
        <w:tc>
          <w:tcPr>
            <w:tcW w:w="1068" w:type="pct"/>
            <w:vAlign w:val="center"/>
          </w:tcPr>
          <w:p w14:paraId="0F944D28">
            <w:pPr>
              <w:pStyle w:val="255"/>
              <w:rPr>
                <w:rFonts w:hint="eastAsia" w:asciiTheme="majorEastAsia" w:hAnsiTheme="majorEastAsia" w:eastAsiaTheme="majorEastAsia"/>
                <w:b/>
                <w:szCs w:val="21"/>
              </w:rPr>
            </w:pPr>
            <w:r>
              <w:rPr>
                <w:rFonts w:asciiTheme="majorEastAsia" w:hAnsiTheme="majorEastAsia" w:eastAsiaTheme="majorEastAsia"/>
                <w:b/>
                <w:szCs w:val="21"/>
              </w:rPr>
              <w:t>分析方法</w:t>
            </w:r>
          </w:p>
        </w:tc>
        <w:tc>
          <w:tcPr>
            <w:tcW w:w="1259" w:type="pct"/>
            <w:vAlign w:val="center"/>
          </w:tcPr>
          <w:p w14:paraId="6137E26B">
            <w:pPr>
              <w:pStyle w:val="255"/>
              <w:rPr>
                <w:rFonts w:hint="eastAsia" w:asciiTheme="majorEastAsia" w:hAnsiTheme="majorEastAsia" w:eastAsiaTheme="majorEastAsia"/>
                <w:b/>
                <w:szCs w:val="21"/>
              </w:rPr>
            </w:pPr>
            <w:r>
              <w:rPr>
                <w:rFonts w:asciiTheme="majorEastAsia" w:hAnsiTheme="majorEastAsia" w:eastAsiaTheme="majorEastAsia"/>
                <w:b/>
                <w:szCs w:val="21"/>
              </w:rPr>
              <w:t>方法来源</w:t>
            </w:r>
          </w:p>
        </w:tc>
        <w:tc>
          <w:tcPr>
            <w:tcW w:w="962" w:type="pct"/>
            <w:tcBorders>
              <w:right w:val="single" w:color="auto" w:sz="4" w:space="0"/>
            </w:tcBorders>
            <w:vAlign w:val="center"/>
          </w:tcPr>
          <w:p w14:paraId="17E028C2">
            <w:pPr>
              <w:pStyle w:val="255"/>
              <w:rPr>
                <w:rFonts w:hint="eastAsia" w:asciiTheme="majorEastAsia" w:hAnsiTheme="majorEastAsia" w:eastAsiaTheme="majorEastAsia"/>
                <w:b/>
                <w:szCs w:val="21"/>
              </w:rPr>
            </w:pPr>
            <w:r>
              <w:rPr>
                <w:rFonts w:hint="eastAsia" w:asciiTheme="majorEastAsia" w:hAnsiTheme="majorEastAsia" w:eastAsiaTheme="majorEastAsia"/>
                <w:b/>
                <w:szCs w:val="21"/>
              </w:rPr>
              <w:t>检测设备</w:t>
            </w:r>
          </w:p>
        </w:tc>
        <w:tc>
          <w:tcPr>
            <w:tcW w:w="797" w:type="pct"/>
            <w:tcBorders>
              <w:right w:val="single" w:color="auto" w:sz="4" w:space="0"/>
            </w:tcBorders>
            <w:vAlign w:val="center"/>
          </w:tcPr>
          <w:p w14:paraId="1564D363">
            <w:pPr>
              <w:pStyle w:val="255"/>
              <w:rPr>
                <w:rFonts w:hint="eastAsia" w:asciiTheme="majorEastAsia" w:hAnsiTheme="majorEastAsia" w:eastAsiaTheme="majorEastAsia"/>
                <w:b/>
                <w:szCs w:val="21"/>
              </w:rPr>
            </w:pPr>
            <w:r>
              <w:rPr>
                <w:rFonts w:asciiTheme="majorEastAsia" w:hAnsiTheme="majorEastAsia" w:eastAsiaTheme="majorEastAsia"/>
                <w:b/>
                <w:szCs w:val="21"/>
              </w:rPr>
              <w:t>最低检出</w:t>
            </w:r>
            <w:r>
              <w:rPr>
                <w:rFonts w:hint="eastAsia" w:asciiTheme="majorEastAsia" w:hAnsiTheme="majorEastAsia" w:eastAsiaTheme="majorEastAsia"/>
                <w:b/>
                <w:szCs w:val="21"/>
              </w:rPr>
              <w:t>限（mg/L）</w:t>
            </w:r>
          </w:p>
        </w:tc>
      </w:tr>
      <w:tr w14:paraId="5EFF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3DEC72C7">
            <w:pPr>
              <w:pStyle w:val="255"/>
            </w:pPr>
            <w:r>
              <w:t>铅（以总铅计）</w:t>
            </w:r>
          </w:p>
        </w:tc>
        <w:tc>
          <w:tcPr>
            <w:tcW w:w="1068" w:type="pct"/>
            <w:vAlign w:val="center"/>
          </w:tcPr>
          <w:p w14:paraId="36CADF7B">
            <w:pPr>
              <w:pStyle w:val="255"/>
              <w:rPr>
                <w:sz w:val="24"/>
                <w:szCs w:val="24"/>
              </w:rPr>
            </w:pPr>
            <w:r>
              <w:rPr>
                <w:rFonts w:hint="eastAsia"/>
              </w:rPr>
              <w:t>火焰原子吸收光谱法</w:t>
            </w:r>
          </w:p>
        </w:tc>
        <w:tc>
          <w:tcPr>
            <w:tcW w:w="1259" w:type="pct"/>
            <w:vAlign w:val="center"/>
          </w:tcPr>
          <w:p w14:paraId="4693F3A0">
            <w:pPr>
              <w:pStyle w:val="255"/>
            </w:pPr>
            <w:r>
              <w:rPr>
                <w:rFonts w:hint="eastAsia"/>
                <w:szCs w:val="21"/>
              </w:rPr>
              <w:t>《危险废物鉴别标准 浸出毒性鉴别》（5085.3-2007）附录</w:t>
            </w:r>
            <w:r>
              <w:rPr>
                <w:szCs w:val="21"/>
              </w:rPr>
              <w:t>D</w:t>
            </w:r>
            <w:r>
              <w:rPr>
                <w:rFonts w:hint="eastAsia"/>
                <w:szCs w:val="21"/>
              </w:rPr>
              <w:t xml:space="preserve"> </w:t>
            </w:r>
          </w:p>
        </w:tc>
        <w:tc>
          <w:tcPr>
            <w:tcW w:w="962" w:type="pct"/>
            <w:tcBorders>
              <w:right w:val="single" w:color="auto" w:sz="4" w:space="0"/>
            </w:tcBorders>
            <w:vAlign w:val="center"/>
          </w:tcPr>
          <w:p w14:paraId="32F64B85">
            <w:pPr>
              <w:pStyle w:val="255"/>
              <w:rPr>
                <w:szCs w:val="21"/>
              </w:rPr>
            </w:pPr>
            <w:r>
              <w:rPr>
                <w:rFonts w:hint="eastAsia"/>
                <w:szCs w:val="21"/>
              </w:rPr>
              <w:t>火焰原子吸收分光光度计</w:t>
            </w:r>
          </w:p>
        </w:tc>
        <w:tc>
          <w:tcPr>
            <w:tcW w:w="797" w:type="pct"/>
            <w:tcBorders>
              <w:right w:val="single" w:color="auto" w:sz="4" w:space="0"/>
            </w:tcBorders>
            <w:vAlign w:val="center"/>
          </w:tcPr>
          <w:p w14:paraId="1A2957DC">
            <w:pPr>
              <w:pStyle w:val="255"/>
              <w:rPr>
                <w:highlight w:val="yellow"/>
              </w:rPr>
            </w:pPr>
            <w:r>
              <w:t>0.</w:t>
            </w:r>
            <w:r>
              <w:rPr>
                <w:rFonts w:hint="eastAsia"/>
              </w:rPr>
              <w:t xml:space="preserve">1 </w:t>
            </w:r>
          </w:p>
        </w:tc>
      </w:tr>
      <w:tr w14:paraId="6183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26B490DF">
            <w:pPr>
              <w:pStyle w:val="255"/>
            </w:pPr>
            <w:r>
              <w:t>总铬</w:t>
            </w:r>
          </w:p>
        </w:tc>
        <w:tc>
          <w:tcPr>
            <w:tcW w:w="1068" w:type="pct"/>
            <w:vAlign w:val="center"/>
          </w:tcPr>
          <w:p w14:paraId="1463E2B2">
            <w:pPr>
              <w:pStyle w:val="255"/>
              <w:rPr>
                <w:sz w:val="24"/>
                <w:szCs w:val="24"/>
              </w:rPr>
            </w:pPr>
            <w:r>
              <w:rPr>
                <w:rFonts w:hint="eastAsia"/>
              </w:rPr>
              <w:t>火焰原子吸收光谱法</w:t>
            </w:r>
          </w:p>
        </w:tc>
        <w:tc>
          <w:tcPr>
            <w:tcW w:w="1259" w:type="pct"/>
            <w:vAlign w:val="center"/>
          </w:tcPr>
          <w:p w14:paraId="7BEE1EC5">
            <w:pPr>
              <w:pStyle w:val="255"/>
            </w:pPr>
            <w:r>
              <w:rPr>
                <w:rFonts w:hint="eastAsia"/>
                <w:szCs w:val="21"/>
              </w:rPr>
              <w:t>《危险废物鉴别标准 浸出毒性鉴别》（5085.3-2007）附录</w:t>
            </w:r>
            <w:r>
              <w:rPr>
                <w:szCs w:val="21"/>
              </w:rPr>
              <w:t>D</w:t>
            </w:r>
          </w:p>
        </w:tc>
        <w:tc>
          <w:tcPr>
            <w:tcW w:w="962" w:type="pct"/>
            <w:tcBorders>
              <w:right w:val="single" w:color="auto" w:sz="4" w:space="0"/>
            </w:tcBorders>
            <w:vAlign w:val="center"/>
          </w:tcPr>
          <w:p w14:paraId="391C9906">
            <w:pPr>
              <w:pStyle w:val="255"/>
              <w:rPr>
                <w:szCs w:val="21"/>
              </w:rPr>
            </w:pPr>
            <w:r>
              <w:rPr>
                <w:rFonts w:hint="eastAsia"/>
                <w:szCs w:val="21"/>
              </w:rPr>
              <w:t>火焰原子吸收分光光度计</w:t>
            </w:r>
          </w:p>
        </w:tc>
        <w:tc>
          <w:tcPr>
            <w:tcW w:w="797" w:type="pct"/>
            <w:tcBorders>
              <w:right w:val="single" w:color="auto" w:sz="4" w:space="0"/>
            </w:tcBorders>
            <w:vAlign w:val="center"/>
          </w:tcPr>
          <w:p w14:paraId="1E7B4227">
            <w:pPr>
              <w:pStyle w:val="255"/>
              <w:rPr>
                <w:highlight w:val="yellow"/>
              </w:rPr>
            </w:pPr>
            <w:r>
              <w:t>0.0</w:t>
            </w:r>
            <w:r>
              <w:rPr>
                <w:rFonts w:hint="eastAsia"/>
              </w:rPr>
              <w:t>5</w:t>
            </w:r>
          </w:p>
        </w:tc>
      </w:tr>
      <w:tr w14:paraId="5F92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1B73E9F8">
            <w:pPr>
              <w:pStyle w:val="255"/>
            </w:pPr>
            <w:r>
              <w:t>镍（以总镍计）</w:t>
            </w:r>
          </w:p>
        </w:tc>
        <w:tc>
          <w:tcPr>
            <w:tcW w:w="1068" w:type="pct"/>
            <w:vAlign w:val="center"/>
          </w:tcPr>
          <w:p w14:paraId="60FDEA6A">
            <w:pPr>
              <w:pStyle w:val="255"/>
              <w:rPr>
                <w:sz w:val="24"/>
                <w:szCs w:val="24"/>
              </w:rPr>
            </w:pPr>
            <w:r>
              <w:rPr>
                <w:rFonts w:hint="eastAsia"/>
              </w:rPr>
              <w:t>火焰原子吸收光谱法</w:t>
            </w:r>
          </w:p>
        </w:tc>
        <w:tc>
          <w:tcPr>
            <w:tcW w:w="1259" w:type="pct"/>
            <w:vAlign w:val="center"/>
          </w:tcPr>
          <w:p w14:paraId="40093E99">
            <w:pPr>
              <w:pStyle w:val="255"/>
            </w:pPr>
            <w:r>
              <w:rPr>
                <w:rFonts w:hint="eastAsia"/>
                <w:szCs w:val="21"/>
              </w:rPr>
              <w:t>《危险废物鉴别标准 浸出毒性鉴别》（5085.3-2007）附录</w:t>
            </w:r>
            <w:r>
              <w:rPr>
                <w:szCs w:val="21"/>
              </w:rPr>
              <w:t>D</w:t>
            </w:r>
          </w:p>
        </w:tc>
        <w:tc>
          <w:tcPr>
            <w:tcW w:w="962" w:type="pct"/>
            <w:tcBorders>
              <w:right w:val="single" w:color="auto" w:sz="4" w:space="0"/>
            </w:tcBorders>
            <w:vAlign w:val="center"/>
          </w:tcPr>
          <w:p w14:paraId="369E67D8">
            <w:pPr>
              <w:pStyle w:val="255"/>
              <w:rPr>
                <w:szCs w:val="21"/>
              </w:rPr>
            </w:pPr>
            <w:r>
              <w:rPr>
                <w:rFonts w:hint="eastAsia"/>
                <w:szCs w:val="21"/>
              </w:rPr>
              <w:t>火焰原子吸收分光光度计</w:t>
            </w:r>
          </w:p>
        </w:tc>
        <w:tc>
          <w:tcPr>
            <w:tcW w:w="797" w:type="pct"/>
            <w:tcBorders>
              <w:right w:val="single" w:color="auto" w:sz="4" w:space="0"/>
            </w:tcBorders>
            <w:vAlign w:val="center"/>
          </w:tcPr>
          <w:p w14:paraId="524DA163">
            <w:pPr>
              <w:pStyle w:val="255"/>
            </w:pPr>
            <w:r>
              <w:t>0.0</w:t>
            </w:r>
            <w:r>
              <w:rPr>
                <w:rFonts w:hint="eastAsia"/>
              </w:rPr>
              <w:t xml:space="preserve">4 </w:t>
            </w:r>
          </w:p>
        </w:tc>
      </w:tr>
      <w:tr w14:paraId="0E6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159E4799">
            <w:pPr>
              <w:pStyle w:val="255"/>
            </w:pPr>
            <w:r>
              <w:rPr>
                <w:rFonts w:hint="eastAsia"/>
              </w:rPr>
              <w:t>总银</w:t>
            </w:r>
          </w:p>
        </w:tc>
        <w:tc>
          <w:tcPr>
            <w:tcW w:w="1068" w:type="pct"/>
            <w:vAlign w:val="center"/>
          </w:tcPr>
          <w:p w14:paraId="6D15D697">
            <w:pPr>
              <w:pStyle w:val="255"/>
            </w:pPr>
            <w:r>
              <w:rPr>
                <w:rFonts w:hint="eastAsia"/>
              </w:rPr>
              <w:t>火焰原子吸收光谱法</w:t>
            </w:r>
          </w:p>
        </w:tc>
        <w:tc>
          <w:tcPr>
            <w:tcW w:w="1259" w:type="pct"/>
            <w:vAlign w:val="center"/>
          </w:tcPr>
          <w:p w14:paraId="25A26404">
            <w:pPr>
              <w:pStyle w:val="255"/>
            </w:pPr>
            <w:r>
              <w:rPr>
                <w:rFonts w:hint="eastAsia"/>
                <w:szCs w:val="21"/>
              </w:rPr>
              <w:t>《危险废物鉴别标准 浸出毒性鉴别》（5085.3-2007）附录</w:t>
            </w:r>
            <w:r>
              <w:rPr>
                <w:szCs w:val="21"/>
              </w:rPr>
              <w:t>D</w:t>
            </w:r>
          </w:p>
        </w:tc>
        <w:tc>
          <w:tcPr>
            <w:tcW w:w="962" w:type="pct"/>
            <w:tcBorders>
              <w:right w:val="single" w:color="auto" w:sz="4" w:space="0"/>
            </w:tcBorders>
            <w:vAlign w:val="center"/>
          </w:tcPr>
          <w:p w14:paraId="662B4D63">
            <w:pPr>
              <w:pStyle w:val="255"/>
              <w:rPr>
                <w:szCs w:val="21"/>
              </w:rPr>
            </w:pPr>
            <w:r>
              <w:rPr>
                <w:rFonts w:hint="eastAsia"/>
                <w:szCs w:val="21"/>
              </w:rPr>
              <w:t>火焰原子吸收分光光度计</w:t>
            </w:r>
          </w:p>
        </w:tc>
        <w:tc>
          <w:tcPr>
            <w:tcW w:w="797" w:type="pct"/>
            <w:tcBorders>
              <w:right w:val="single" w:color="auto" w:sz="4" w:space="0"/>
            </w:tcBorders>
            <w:vAlign w:val="center"/>
          </w:tcPr>
          <w:p w14:paraId="22F5BBA9">
            <w:pPr>
              <w:pStyle w:val="255"/>
            </w:pPr>
            <w:r>
              <w:rPr>
                <w:rFonts w:hint="eastAsia"/>
              </w:rPr>
              <w:t>0</w:t>
            </w:r>
            <w:r>
              <w:t>.01</w:t>
            </w:r>
          </w:p>
        </w:tc>
      </w:tr>
      <w:tr w14:paraId="5375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7F7D8151">
            <w:pPr>
              <w:pStyle w:val="255"/>
            </w:pPr>
            <w:r>
              <w:t>砷（以总砷计）</w:t>
            </w:r>
          </w:p>
        </w:tc>
        <w:tc>
          <w:tcPr>
            <w:tcW w:w="1068" w:type="pct"/>
            <w:vAlign w:val="center"/>
          </w:tcPr>
          <w:p w14:paraId="2AEE9486">
            <w:pPr>
              <w:pStyle w:val="255"/>
            </w:pPr>
            <w:r>
              <w:rPr>
                <w:rFonts w:hint="eastAsia"/>
              </w:rPr>
              <w:t>原子荧光法</w:t>
            </w:r>
          </w:p>
        </w:tc>
        <w:tc>
          <w:tcPr>
            <w:tcW w:w="1259" w:type="pct"/>
            <w:vAlign w:val="center"/>
          </w:tcPr>
          <w:p w14:paraId="431D6214">
            <w:pPr>
              <w:pStyle w:val="255"/>
            </w:pPr>
            <w:r>
              <w:rPr>
                <w:rFonts w:hint="eastAsia"/>
                <w:szCs w:val="21"/>
              </w:rPr>
              <w:t>《危险废物鉴别标准 浸出毒性鉴别》（5085.3-2007）附录</w:t>
            </w:r>
            <w:r>
              <w:rPr>
                <w:szCs w:val="21"/>
              </w:rPr>
              <w:t>E</w:t>
            </w:r>
          </w:p>
        </w:tc>
        <w:tc>
          <w:tcPr>
            <w:tcW w:w="962" w:type="pct"/>
            <w:tcBorders>
              <w:right w:val="single" w:color="auto" w:sz="4" w:space="0"/>
            </w:tcBorders>
            <w:vAlign w:val="center"/>
          </w:tcPr>
          <w:p w14:paraId="6E0D784A">
            <w:pPr>
              <w:pStyle w:val="255"/>
              <w:rPr>
                <w:szCs w:val="21"/>
              </w:rPr>
            </w:pPr>
            <w:r>
              <w:rPr>
                <w:rFonts w:hint="eastAsia" w:ascii="宋体" w:cs="宋体"/>
                <w:szCs w:val="21"/>
              </w:rPr>
              <w:t>原子荧光光度计</w:t>
            </w:r>
          </w:p>
        </w:tc>
        <w:tc>
          <w:tcPr>
            <w:tcW w:w="797" w:type="pct"/>
            <w:tcBorders>
              <w:right w:val="single" w:color="auto" w:sz="4" w:space="0"/>
            </w:tcBorders>
            <w:vAlign w:val="center"/>
          </w:tcPr>
          <w:p w14:paraId="7928EED5">
            <w:pPr>
              <w:pStyle w:val="255"/>
            </w:pPr>
            <w:r>
              <w:t>0.00</w:t>
            </w:r>
            <w:r>
              <w:rPr>
                <w:rFonts w:hint="eastAsia"/>
              </w:rPr>
              <w:t>0</w:t>
            </w:r>
            <w:r>
              <w:t>1</w:t>
            </w:r>
          </w:p>
        </w:tc>
      </w:tr>
      <w:tr w14:paraId="6F5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15" w:type="pct"/>
            <w:vAlign w:val="center"/>
          </w:tcPr>
          <w:p w14:paraId="3637977B">
            <w:pPr>
              <w:pStyle w:val="255"/>
              <w:rPr>
                <w:rFonts w:hint="eastAsia" w:ascii="宋体" w:hAnsi="宋体"/>
              </w:rPr>
            </w:pPr>
            <w:r>
              <w:rPr>
                <w:rFonts w:hint="eastAsia" w:ascii="宋体" w:hAnsi="宋体"/>
              </w:rPr>
              <w:t>二甲苯</w:t>
            </w:r>
          </w:p>
        </w:tc>
        <w:tc>
          <w:tcPr>
            <w:tcW w:w="1068" w:type="pct"/>
            <w:vAlign w:val="center"/>
          </w:tcPr>
          <w:p w14:paraId="6DB62B68">
            <w:pPr>
              <w:pStyle w:val="255"/>
            </w:pPr>
            <w:r>
              <w:rPr>
                <w:rFonts w:hint="eastAsia"/>
              </w:rPr>
              <w:t>气相色谱法</w:t>
            </w:r>
          </w:p>
        </w:tc>
        <w:tc>
          <w:tcPr>
            <w:tcW w:w="1259" w:type="pct"/>
            <w:vAlign w:val="center"/>
          </w:tcPr>
          <w:p w14:paraId="48FE1E6F">
            <w:pPr>
              <w:pStyle w:val="255"/>
            </w:pPr>
            <w:r>
              <w:rPr>
                <w:rFonts w:hint="eastAsia"/>
                <w:szCs w:val="21"/>
              </w:rPr>
              <w:t>《危险废物鉴别标准 浸出毒性鉴别》（5085.3-2007）附录</w:t>
            </w:r>
            <w:r>
              <w:rPr>
                <w:szCs w:val="21"/>
              </w:rPr>
              <w:t>O</w:t>
            </w:r>
          </w:p>
        </w:tc>
        <w:tc>
          <w:tcPr>
            <w:tcW w:w="962" w:type="pct"/>
            <w:tcBorders>
              <w:right w:val="single" w:color="auto" w:sz="4" w:space="0"/>
            </w:tcBorders>
            <w:vAlign w:val="center"/>
          </w:tcPr>
          <w:p w14:paraId="3BB587DE">
            <w:pPr>
              <w:pStyle w:val="255"/>
              <w:rPr>
                <w:szCs w:val="21"/>
              </w:rPr>
            </w:pPr>
            <w:r>
              <w:rPr>
                <w:rFonts w:hint="eastAsia"/>
                <w:szCs w:val="21"/>
              </w:rPr>
              <w:t>气相色谱仪</w:t>
            </w:r>
          </w:p>
        </w:tc>
        <w:tc>
          <w:tcPr>
            <w:tcW w:w="797" w:type="pct"/>
            <w:tcBorders>
              <w:right w:val="single" w:color="auto" w:sz="4" w:space="0"/>
            </w:tcBorders>
            <w:vAlign w:val="center"/>
          </w:tcPr>
          <w:p w14:paraId="02FFB682">
            <w:pPr>
              <w:pStyle w:val="255"/>
            </w:pPr>
            <w:r>
              <w:rPr>
                <w:rFonts w:hint="eastAsia"/>
              </w:rPr>
              <w:t>0</w:t>
            </w:r>
            <w:r>
              <w:t>.001</w:t>
            </w:r>
          </w:p>
        </w:tc>
      </w:tr>
    </w:tbl>
    <w:p w14:paraId="4A6C11CC">
      <w:pPr>
        <w:spacing w:line="360" w:lineRule="auto"/>
        <w:rPr>
          <w:rFonts w:hint="eastAsia" w:cs="宋体" w:asciiTheme="majorEastAsia" w:hAnsiTheme="majorEastAsia" w:eastAsiaTheme="majorEastAsia"/>
          <w:kern w:val="0"/>
          <w:sz w:val="24"/>
          <w:szCs w:val="20"/>
          <w:lang w:val="zh-CN" w:eastAsia="zh-CN"/>
        </w:rPr>
      </w:pPr>
      <w:r>
        <w:rPr>
          <w:rFonts w:hint="eastAsia" w:cs="宋体" w:asciiTheme="majorEastAsia" w:hAnsiTheme="majorEastAsia" w:eastAsiaTheme="majorEastAsia"/>
          <w:kern w:val="0"/>
          <w:sz w:val="24"/>
          <w:szCs w:val="20"/>
          <w:lang w:val="zh-CN" w:eastAsia="zh-CN"/>
        </w:rPr>
        <w:t>2、</w:t>
      </w:r>
      <w:r>
        <w:rPr>
          <w:rFonts w:cs="宋体" w:asciiTheme="majorEastAsia" w:hAnsiTheme="majorEastAsia" w:eastAsiaTheme="majorEastAsia"/>
          <w:kern w:val="0"/>
          <w:sz w:val="24"/>
          <w:szCs w:val="20"/>
          <w:lang w:val="zh-CN" w:eastAsia="zh-CN"/>
        </w:rPr>
        <w:t>毒性物质含量</w:t>
      </w:r>
      <w:r>
        <w:rPr>
          <w:rFonts w:hint="eastAsia" w:cs="宋体" w:asciiTheme="majorEastAsia" w:hAnsiTheme="majorEastAsia" w:eastAsiaTheme="majorEastAsia"/>
          <w:kern w:val="0"/>
          <w:sz w:val="24"/>
          <w:szCs w:val="20"/>
          <w:lang w:val="zh-CN" w:eastAsia="zh-CN"/>
        </w:rPr>
        <w:t>检测</w:t>
      </w:r>
      <w:r>
        <w:rPr>
          <w:rFonts w:cs="宋体" w:asciiTheme="majorEastAsia" w:hAnsiTheme="majorEastAsia" w:eastAsiaTheme="majorEastAsia"/>
          <w:kern w:val="0"/>
          <w:sz w:val="24"/>
          <w:szCs w:val="20"/>
          <w:lang w:val="zh-CN" w:eastAsia="zh-CN"/>
        </w:rPr>
        <w:t>项目</w:t>
      </w:r>
      <w:r>
        <w:rPr>
          <w:rFonts w:hint="eastAsia" w:cs="宋体" w:asciiTheme="majorEastAsia" w:hAnsiTheme="majorEastAsia" w:eastAsiaTheme="majorEastAsia"/>
          <w:kern w:val="0"/>
          <w:sz w:val="24"/>
          <w:szCs w:val="20"/>
          <w:lang w:val="zh-CN" w:eastAsia="zh-CN"/>
        </w:rPr>
        <w:t>:</w:t>
      </w:r>
    </w:p>
    <w:p w14:paraId="250B1D00">
      <w:pPr>
        <w:pStyle w:val="254"/>
        <w:ind w:firstLine="480"/>
        <w:rPr>
          <w:rFonts w:hint="eastAsia" w:asciiTheme="minorEastAsia" w:hAnsiTheme="minorEastAsia"/>
          <w:color w:val="auto"/>
          <w:szCs w:val="24"/>
        </w:rPr>
      </w:pPr>
      <w:r>
        <w:rPr>
          <w:rFonts w:hint="eastAsia" w:asciiTheme="minorEastAsia" w:hAnsiTheme="minorEastAsia"/>
          <w:color w:val="auto"/>
          <w:szCs w:val="24"/>
        </w:rPr>
        <w:t>（一）、</w:t>
      </w:r>
      <w:r>
        <w:rPr>
          <w:rFonts w:asciiTheme="minorEastAsia" w:hAnsiTheme="minorEastAsia"/>
          <w:color w:val="auto"/>
          <w:szCs w:val="24"/>
        </w:rPr>
        <w:t>本次毒性物质含量选取</w:t>
      </w:r>
      <w:r>
        <w:rPr>
          <w:rFonts w:hint="eastAsia" w:asciiTheme="minorEastAsia" w:hAnsiTheme="minorEastAsia"/>
          <w:color w:val="auto"/>
          <w:szCs w:val="24"/>
        </w:rPr>
        <w:t>钴、锰、氯离子、硫酸根离子和苯，</w:t>
      </w:r>
      <w:r>
        <w:rPr>
          <w:rFonts w:asciiTheme="minorEastAsia" w:hAnsiTheme="minorEastAsia"/>
          <w:color w:val="auto"/>
          <w:szCs w:val="24"/>
        </w:rPr>
        <w:t>共</w:t>
      </w:r>
      <w:r>
        <w:rPr>
          <w:rFonts w:hint="eastAsia" w:asciiTheme="minorEastAsia" w:hAnsiTheme="minorEastAsia"/>
          <w:color w:val="auto"/>
          <w:szCs w:val="24"/>
        </w:rPr>
        <w:t>5</w:t>
      </w:r>
      <w:r>
        <w:rPr>
          <w:rFonts w:asciiTheme="minorEastAsia" w:hAnsiTheme="minorEastAsia"/>
          <w:color w:val="auto"/>
          <w:szCs w:val="24"/>
        </w:rPr>
        <w:t>个检测</w:t>
      </w:r>
      <w:r>
        <w:rPr>
          <w:rFonts w:hint="eastAsia" w:asciiTheme="minorEastAsia" w:hAnsiTheme="minorEastAsia"/>
          <w:color w:val="auto"/>
          <w:szCs w:val="24"/>
        </w:rPr>
        <w:t>项目</w:t>
      </w:r>
      <w:r>
        <w:rPr>
          <w:rFonts w:asciiTheme="minorEastAsia" w:hAnsiTheme="minorEastAsia"/>
          <w:color w:val="auto"/>
          <w:szCs w:val="24"/>
        </w:rPr>
        <w:t>。</w:t>
      </w:r>
    </w:p>
    <w:p w14:paraId="27CB70D0">
      <w:pPr>
        <w:pStyle w:val="254"/>
        <w:ind w:firstLine="480"/>
        <w:rPr>
          <w:rFonts w:hint="eastAsia" w:asciiTheme="minorEastAsia" w:hAnsiTheme="minorEastAsia"/>
          <w:color w:val="auto"/>
          <w:szCs w:val="24"/>
        </w:rPr>
      </w:pPr>
      <w:bookmarkStart w:id="1" w:name="_Hlk498112215"/>
      <w:r>
        <w:rPr>
          <w:rFonts w:hint="eastAsia" w:asciiTheme="minorEastAsia" w:hAnsiTheme="minorEastAsia"/>
          <w:color w:val="auto"/>
          <w:szCs w:val="24"/>
        </w:rPr>
        <w:t>（二）、毒性物质含量鉴别检测方法、</w:t>
      </w:r>
      <w:r>
        <w:rPr>
          <w:rFonts w:asciiTheme="minorEastAsia" w:hAnsiTheme="minorEastAsia"/>
          <w:color w:val="auto"/>
          <w:szCs w:val="24"/>
        </w:rPr>
        <w:t>来源</w:t>
      </w:r>
      <w:r>
        <w:rPr>
          <w:rFonts w:hint="eastAsia" w:asciiTheme="minorEastAsia" w:hAnsiTheme="minorEastAsia"/>
          <w:color w:val="auto"/>
          <w:szCs w:val="24"/>
        </w:rPr>
        <w:t>、设备及最低检出限，如下表：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2278"/>
        <w:gridCol w:w="2592"/>
        <w:gridCol w:w="2080"/>
        <w:gridCol w:w="1382"/>
      </w:tblGrid>
      <w:tr w14:paraId="2B49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09D1EF59">
            <w:pPr>
              <w:pStyle w:val="255"/>
              <w:rPr>
                <w:rFonts w:hint="eastAsia" w:asciiTheme="minorEastAsia" w:hAnsiTheme="minorEastAsia"/>
                <w:szCs w:val="21"/>
              </w:rPr>
            </w:pPr>
            <w:r>
              <w:rPr>
                <w:rFonts w:asciiTheme="minorEastAsia" w:hAnsiTheme="minorEastAsia"/>
                <w:szCs w:val="21"/>
              </w:rPr>
              <w:t>项目名称</w:t>
            </w:r>
          </w:p>
        </w:tc>
        <w:tc>
          <w:tcPr>
            <w:tcW w:w="1126" w:type="pct"/>
            <w:vAlign w:val="center"/>
          </w:tcPr>
          <w:p w14:paraId="6F5550FD">
            <w:pPr>
              <w:pStyle w:val="255"/>
              <w:rPr>
                <w:rFonts w:hint="eastAsia" w:asciiTheme="minorEastAsia" w:hAnsiTheme="minorEastAsia"/>
                <w:szCs w:val="21"/>
              </w:rPr>
            </w:pPr>
            <w:r>
              <w:rPr>
                <w:rFonts w:asciiTheme="minorEastAsia" w:hAnsiTheme="minorEastAsia"/>
                <w:szCs w:val="21"/>
              </w:rPr>
              <w:t>分析方法</w:t>
            </w:r>
          </w:p>
        </w:tc>
        <w:tc>
          <w:tcPr>
            <w:tcW w:w="1281" w:type="pct"/>
            <w:vAlign w:val="center"/>
          </w:tcPr>
          <w:p w14:paraId="01DE5785">
            <w:pPr>
              <w:pStyle w:val="255"/>
              <w:rPr>
                <w:rFonts w:hint="eastAsia" w:asciiTheme="minorEastAsia" w:hAnsiTheme="minorEastAsia"/>
                <w:szCs w:val="21"/>
              </w:rPr>
            </w:pPr>
            <w:r>
              <w:rPr>
                <w:rFonts w:asciiTheme="minorEastAsia" w:hAnsiTheme="minorEastAsia"/>
                <w:szCs w:val="21"/>
              </w:rPr>
              <w:t>方法来源</w:t>
            </w:r>
          </w:p>
        </w:tc>
        <w:tc>
          <w:tcPr>
            <w:tcW w:w="1028" w:type="pct"/>
            <w:tcBorders>
              <w:right w:val="single" w:color="auto" w:sz="4" w:space="0"/>
            </w:tcBorders>
            <w:vAlign w:val="center"/>
          </w:tcPr>
          <w:p w14:paraId="4D45242F">
            <w:pPr>
              <w:pStyle w:val="255"/>
              <w:rPr>
                <w:rFonts w:hint="eastAsia" w:asciiTheme="minorEastAsia" w:hAnsiTheme="minorEastAsia"/>
                <w:szCs w:val="21"/>
              </w:rPr>
            </w:pPr>
            <w:r>
              <w:rPr>
                <w:rFonts w:hint="eastAsia" w:asciiTheme="minorEastAsia" w:hAnsiTheme="minorEastAsia"/>
                <w:szCs w:val="21"/>
              </w:rPr>
              <w:t>检测设备</w:t>
            </w:r>
          </w:p>
        </w:tc>
        <w:tc>
          <w:tcPr>
            <w:tcW w:w="683" w:type="pct"/>
            <w:tcBorders>
              <w:right w:val="single" w:color="auto" w:sz="4" w:space="0"/>
            </w:tcBorders>
            <w:vAlign w:val="center"/>
          </w:tcPr>
          <w:p w14:paraId="6F88677F">
            <w:pPr>
              <w:pStyle w:val="255"/>
              <w:rPr>
                <w:rFonts w:hint="eastAsia" w:asciiTheme="minorEastAsia" w:hAnsiTheme="minorEastAsia"/>
                <w:szCs w:val="21"/>
              </w:rPr>
            </w:pPr>
            <w:r>
              <w:rPr>
                <w:rFonts w:asciiTheme="minorEastAsia" w:hAnsiTheme="minorEastAsia"/>
                <w:szCs w:val="21"/>
              </w:rPr>
              <w:t>最低检出</w:t>
            </w:r>
            <w:r>
              <w:rPr>
                <w:rFonts w:hint="eastAsia" w:asciiTheme="minorEastAsia" w:hAnsiTheme="minorEastAsia"/>
                <w:szCs w:val="21"/>
              </w:rPr>
              <w:t>限（</w:t>
            </w:r>
            <w:r>
              <w:rPr>
                <w:rFonts w:asciiTheme="minorEastAsia" w:hAnsiTheme="minorEastAsia"/>
                <w:szCs w:val="21"/>
              </w:rPr>
              <w:t>mg/kg</w:t>
            </w:r>
            <w:r>
              <w:rPr>
                <w:rFonts w:hint="eastAsia" w:asciiTheme="minorEastAsia" w:hAnsiTheme="minorEastAsia"/>
                <w:szCs w:val="21"/>
              </w:rPr>
              <w:t>）</w:t>
            </w:r>
          </w:p>
        </w:tc>
      </w:tr>
      <w:tr w14:paraId="4509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749300A7">
            <w:pPr>
              <w:pStyle w:val="255"/>
              <w:rPr>
                <w:rFonts w:hint="eastAsia" w:asciiTheme="minorEastAsia" w:hAnsiTheme="minorEastAsia"/>
                <w:szCs w:val="21"/>
              </w:rPr>
            </w:pPr>
            <w:r>
              <w:rPr>
                <w:rFonts w:hint="eastAsia" w:asciiTheme="minorEastAsia" w:hAnsiTheme="minorEastAsia"/>
                <w:szCs w:val="21"/>
              </w:rPr>
              <w:t>钴</w:t>
            </w:r>
          </w:p>
        </w:tc>
        <w:tc>
          <w:tcPr>
            <w:tcW w:w="1126" w:type="pct"/>
            <w:vAlign w:val="center"/>
          </w:tcPr>
          <w:p w14:paraId="6D5D9415">
            <w:pPr>
              <w:pStyle w:val="255"/>
              <w:rPr>
                <w:rFonts w:hint="eastAsia" w:asciiTheme="minorEastAsia" w:hAnsiTheme="minorEastAsia"/>
                <w:szCs w:val="21"/>
              </w:rPr>
            </w:pPr>
            <w:r>
              <w:rPr>
                <w:rFonts w:hint="eastAsia" w:asciiTheme="minorEastAsia" w:hAnsiTheme="minorEastAsia"/>
                <w:szCs w:val="21"/>
              </w:rPr>
              <w:t>电感耦合等离子体质谱法</w:t>
            </w:r>
          </w:p>
        </w:tc>
        <w:tc>
          <w:tcPr>
            <w:tcW w:w="1281" w:type="pct"/>
            <w:vAlign w:val="center"/>
          </w:tcPr>
          <w:p w14:paraId="015F3345">
            <w:pPr>
              <w:pStyle w:val="255"/>
              <w:rPr>
                <w:rFonts w:hint="eastAsia" w:asciiTheme="minorEastAsia" w:hAnsiTheme="minorEastAsia"/>
                <w:szCs w:val="21"/>
              </w:rPr>
            </w:pPr>
            <w:r>
              <w:rPr>
                <w:rFonts w:hint="eastAsia" w:asciiTheme="minorEastAsia" w:hAnsiTheme="minorEastAsia"/>
                <w:szCs w:val="21"/>
              </w:rPr>
              <w:t>《危险废物鉴别标准 浸出毒性鉴别》（5085.3-2007）附录</w:t>
            </w:r>
            <w:r>
              <w:rPr>
                <w:rFonts w:asciiTheme="minorEastAsia" w:hAnsiTheme="minorEastAsia"/>
                <w:szCs w:val="21"/>
              </w:rPr>
              <w:t>B</w:t>
            </w:r>
            <w:r>
              <w:rPr>
                <w:rFonts w:hint="eastAsia" w:asciiTheme="minorEastAsia" w:hAnsiTheme="minorEastAsia"/>
                <w:szCs w:val="21"/>
              </w:rPr>
              <w:t xml:space="preserve"> </w:t>
            </w:r>
          </w:p>
        </w:tc>
        <w:tc>
          <w:tcPr>
            <w:tcW w:w="1028" w:type="pct"/>
            <w:tcBorders>
              <w:right w:val="single" w:color="auto" w:sz="4" w:space="0"/>
            </w:tcBorders>
            <w:vAlign w:val="center"/>
          </w:tcPr>
          <w:p w14:paraId="3B3B7C95">
            <w:pPr>
              <w:pStyle w:val="255"/>
              <w:rPr>
                <w:rFonts w:hint="eastAsia" w:asciiTheme="minorEastAsia" w:hAnsiTheme="minorEastAsia"/>
                <w:szCs w:val="21"/>
              </w:rPr>
            </w:pPr>
            <w:r>
              <w:rPr>
                <w:rFonts w:hint="eastAsia" w:asciiTheme="minorEastAsia" w:hAnsiTheme="minorEastAsia"/>
                <w:szCs w:val="21"/>
              </w:rPr>
              <w:t>I</w:t>
            </w:r>
            <w:r>
              <w:rPr>
                <w:rFonts w:asciiTheme="minorEastAsia" w:hAnsiTheme="minorEastAsia"/>
                <w:szCs w:val="21"/>
              </w:rPr>
              <w:t>CAP RQ</w:t>
            </w:r>
            <w:r>
              <w:rPr>
                <w:rFonts w:hint="eastAsia" w:asciiTheme="minorEastAsia" w:hAnsiTheme="minorEastAsia"/>
                <w:szCs w:val="21"/>
              </w:rPr>
              <w:t>电感耦合等离子体质谱仪（C</w:t>
            </w:r>
            <w:r>
              <w:rPr>
                <w:rFonts w:asciiTheme="minorEastAsia" w:hAnsiTheme="minorEastAsia"/>
                <w:szCs w:val="21"/>
              </w:rPr>
              <w:t>ASTS-B0027</w:t>
            </w:r>
            <w:r>
              <w:rPr>
                <w:rFonts w:hint="eastAsia" w:asciiTheme="minorEastAsia" w:hAnsiTheme="minorEastAsia"/>
                <w:szCs w:val="21"/>
              </w:rPr>
              <w:t>）</w:t>
            </w:r>
          </w:p>
        </w:tc>
        <w:tc>
          <w:tcPr>
            <w:tcW w:w="683" w:type="pct"/>
            <w:tcBorders>
              <w:right w:val="single" w:color="auto" w:sz="4" w:space="0"/>
            </w:tcBorders>
            <w:vAlign w:val="center"/>
          </w:tcPr>
          <w:p w14:paraId="0AD1F2B2">
            <w:pPr>
              <w:pStyle w:val="255"/>
              <w:rPr>
                <w:rFonts w:hint="eastAsia" w:asciiTheme="minorEastAsia" w:hAnsiTheme="minorEastAsia"/>
                <w:szCs w:val="21"/>
                <w:highlight w:val="yellow"/>
              </w:rPr>
            </w:pPr>
            <w:r>
              <w:rPr>
                <w:rFonts w:asciiTheme="minorEastAsia" w:hAnsiTheme="minorEastAsia"/>
                <w:szCs w:val="21"/>
              </w:rPr>
              <w:t>0.002</w:t>
            </w:r>
            <w:r>
              <w:rPr>
                <w:rFonts w:hint="eastAsia" w:asciiTheme="minorEastAsia" w:hAnsiTheme="minorEastAsia"/>
                <w:szCs w:val="21"/>
              </w:rPr>
              <w:t xml:space="preserve"> </w:t>
            </w:r>
          </w:p>
        </w:tc>
      </w:tr>
      <w:tr w14:paraId="22AC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770EDBDF">
            <w:pPr>
              <w:pStyle w:val="255"/>
              <w:rPr>
                <w:rFonts w:hint="eastAsia" w:asciiTheme="minorEastAsia" w:hAnsiTheme="minorEastAsia"/>
                <w:szCs w:val="21"/>
              </w:rPr>
            </w:pPr>
            <w:r>
              <w:rPr>
                <w:rFonts w:hint="eastAsia" w:asciiTheme="minorEastAsia" w:hAnsiTheme="minorEastAsia"/>
                <w:szCs w:val="21"/>
              </w:rPr>
              <w:t>锰</w:t>
            </w:r>
          </w:p>
        </w:tc>
        <w:tc>
          <w:tcPr>
            <w:tcW w:w="1126" w:type="pct"/>
            <w:vAlign w:val="center"/>
          </w:tcPr>
          <w:p w14:paraId="6815D508">
            <w:pPr>
              <w:pStyle w:val="255"/>
              <w:rPr>
                <w:rFonts w:hint="eastAsia" w:asciiTheme="minorEastAsia" w:hAnsiTheme="minorEastAsia"/>
                <w:szCs w:val="21"/>
              </w:rPr>
            </w:pPr>
            <w:r>
              <w:rPr>
                <w:rFonts w:hint="eastAsia" w:asciiTheme="minorEastAsia" w:hAnsiTheme="minorEastAsia"/>
                <w:szCs w:val="21"/>
              </w:rPr>
              <w:t>电感耦合等离子体质谱法</w:t>
            </w:r>
          </w:p>
        </w:tc>
        <w:tc>
          <w:tcPr>
            <w:tcW w:w="1281" w:type="pct"/>
            <w:vAlign w:val="center"/>
          </w:tcPr>
          <w:p w14:paraId="195674AF">
            <w:pPr>
              <w:pStyle w:val="255"/>
              <w:rPr>
                <w:rFonts w:hint="eastAsia" w:asciiTheme="minorEastAsia" w:hAnsiTheme="minorEastAsia"/>
                <w:szCs w:val="21"/>
              </w:rPr>
            </w:pPr>
            <w:r>
              <w:rPr>
                <w:rFonts w:hint="eastAsia" w:asciiTheme="minorEastAsia" w:hAnsiTheme="minorEastAsia"/>
                <w:szCs w:val="21"/>
              </w:rPr>
              <w:t>《危险废物鉴别标准 浸出毒性鉴别》（5085.3-2007）附录</w:t>
            </w:r>
            <w:r>
              <w:rPr>
                <w:rFonts w:asciiTheme="minorEastAsia" w:hAnsiTheme="minorEastAsia"/>
                <w:szCs w:val="21"/>
              </w:rPr>
              <w:t>B</w:t>
            </w:r>
            <w:r>
              <w:rPr>
                <w:rFonts w:hint="eastAsia" w:asciiTheme="minorEastAsia" w:hAnsiTheme="minorEastAsia"/>
                <w:szCs w:val="21"/>
              </w:rPr>
              <w:t xml:space="preserve"> </w:t>
            </w:r>
          </w:p>
        </w:tc>
        <w:tc>
          <w:tcPr>
            <w:tcW w:w="1028" w:type="pct"/>
            <w:tcBorders>
              <w:right w:val="single" w:color="auto" w:sz="4" w:space="0"/>
            </w:tcBorders>
            <w:vAlign w:val="center"/>
          </w:tcPr>
          <w:p w14:paraId="11C31F87">
            <w:pPr>
              <w:pStyle w:val="255"/>
              <w:rPr>
                <w:rFonts w:hint="eastAsia" w:asciiTheme="minorEastAsia" w:hAnsiTheme="minorEastAsia"/>
                <w:szCs w:val="21"/>
              </w:rPr>
            </w:pPr>
            <w:r>
              <w:rPr>
                <w:rFonts w:hint="eastAsia" w:asciiTheme="minorEastAsia" w:hAnsiTheme="minorEastAsia"/>
                <w:szCs w:val="21"/>
              </w:rPr>
              <w:t>I</w:t>
            </w:r>
            <w:r>
              <w:rPr>
                <w:rFonts w:asciiTheme="minorEastAsia" w:hAnsiTheme="minorEastAsia"/>
                <w:szCs w:val="21"/>
              </w:rPr>
              <w:t>CAP RQ</w:t>
            </w:r>
            <w:r>
              <w:rPr>
                <w:rFonts w:hint="eastAsia" w:asciiTheme="minorEastAsia" w:hAnsiTheme="minorEastAsia"/>
                <w:szCs w:val="21"/>
              </w:rPr>
              <w:t>电感耦合等离子体质谱仪（C</w:t>
            </w:r>
            <w:r>
              <w:rPr>
                <w:rFonts w:asciiTheme="minorEastAsia" w:hAnsiTheme="minorEastAsia"/>
                <w:szCs w:val="21"/>
              </w:rPr>
              <w:t>ASTS-B0027</w:t>
            </w:r>
            <w:r>
              <w:rPr>
                <w:rFonts w:hint="eastAsia" w:asciiTheme="minorEastAsia" w:hAnsiTheme="minorEastAsia"/>
                <w:szCs w:val="21"/>
              </w:rPr>
              <w:t>）</w:t>
            </w:r>
          </w:p>
        </w:tc>
        <w:tc>
          <w:tcPr>
            <w:tcW w:w="683" w:type="pct"/>
            <w:tcBorders>
              <w:right w:val="single" w:color="auto" w:sz="4" w:space="0"/>
            </w:tcBorders>
            <w:vAlign w:val="center"/>
          </w:tcPr>
          <w:p w14:paraId="57C1EA8D">
            <w:pPr>
              <w:pStyle w:val="255"/>
              <w:rPr>
                <w:rFonts w:hint="eastAsia" w:asciiTheme="minorEastAsia" w:hAnsiTheme="minorEastAsia"/>
                <w:szCs w:val="21"/>
                <w:highlight w:val="yellow"/>
              </w:rPr>
            </w:pPr>
            <w:r>
              <w:rPr>
                <w:rFonts w:asciiTheme="minorEastAsia" w:hAnsiTheme="minorEastAsia"/>
                <w:szCs w:val="21"/>
              </w:rPr>
              <w:t>0.01</w:t>
            </w:r>
          </w:p>
        </w:tc>
      </w:tr>
      <w:tr w14:paraId="6866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68A84F8C">
            <w:pPr>
              <w:pStyle w:val="255"/>
              <w:rPr>
                <w:rFonts w:hint="eastAsia" w:asciiTheme="minorEastAsia" w:hAnsiTheme="minorEastAsia"/>
                <w:szCs w:val="21"/>
              </w:rPr>
            </w:pPr>
            <w:r>
              <w:rPr>
                <w:rFonts w:hint="eastAsia" w:asciiTheme="minorEastAsia" w:hAnsiTheme="minorEastAsia"/>
                <w:szCs w:val="21"/>
              </w:rPr>
              <w:t>氯离子</w:t>
            </w:r>
          </w:p>
        </w:tc>
        <w:tc>
          <w:tcPr>
            <w:tcW w:w="1126" w:type="pct"/>
            <w:vAlign w:val="center"/>
          </w:tcPr>
          <w:p w14:paraId="7C0A3040">
            <w:pPr>
              <w:pStyle w:val="255"/>
              <w:rPr>
                <w:rFonts w:hint="eastAsia" w:asciiTheme="minorEastAsia" w:hAnsiTheme="minorEastAsia"/>
                <w:szCs w:val="21"/>
              </w:rPr>
            </w:pPr>
            <w:r>
              <w:rPr>
                <w:rFonts w:hint="eastAsia" w:asciiTheme="minorEastAsia" w:hAnsiTheme="minorEastAsia"/>
                <w:szCs w:val="21"/>
              </w:rPr>
              <w:t>离子色谱法</w:t>
            </w:r>
          </w:p>
        </w:tc>
        <w:tc>
          <w:tcPr>
            <w:tcW w:w="1281" w:type="pct"/>
            <w:vAlign w:val="center"/>
          </w:tcPr>
          <w:p w14:paraId="38A0A8E8">
            <w:pPr>
              <w:pStyle w:val="255"/>
              <w:rPr>
                <w:rFonts w:hint="eastAsia" w:asciiTheme="minorEastAsia" w:hAnsiTheme="minorEastAsia"/>
                <w:szCs w:val="21"/>
              </w:rPr>
            </w:pPr>
            <w:r>
              <w:rPr>
                <w:rFonts w:hint="eastAsia" w:asciiTheme="minorEastAsia" w:hAnsiTheme="minorEastAsia"/>
                <w:szCs w:val="21"/>
              </w:rPr>
              <w:t>《危险废物鉴别标准 浸出毒性鉴别》（5085.3-2007）附录</w:t>
            </w:r>
            <w:r>
              <w:rPr>
                <w:rFonts w:asciiTheme="minorEastAsia" w:hAnsiTheme="minorEastAsia"/>
                <w:szCs w:val="21"/>
              </w:rPr>
              <w:t>F</w:t>
            </w:r>
            <w:r>
              <w:rPr>
                <w:rFonts w:hint="eastAsia" w:asciiTheme="minorEastAsia" w:hAnsiTheme="minorEastAsia"/>
                <w:szCs w:val="21"/>
              </w:rPr>
              <w:t xml:space="preserve"> </w:t>
            </w:r>
          </w:p>
        </w:tc>
        <w:tc>
          <w:tcPr>
            <w:tcW w:w="1028" w:type="pct"/>
            <w:tcBorders>
              <w:right w:val="single" w:color="auto" w:sz="4" w:space="0"/>
            </w:tcBorders>
            <w:vAlign w:val="center"/>
          </w:tcPr>
          <w:p w14:paraId="7D51E956">
            <w:pPr>
              <w:pStyle w:val="255"/>
              <w:rPr>
                <w:rFonts w:hint="eastAsia" w:asciiTheme="minorEastAsia" w:hAnsiTheme="minorEastAsia"/>
                <w:szCs w:val="21"/>
              </w:rPr>
            </w:pPr>
            <w:r>
              <w:rPr>
                <w:rFonts w:hint="eastAsia" w:asciiTheme="minorEastAsia" w:hAnsiTheme="minorEastAsia"/>
                <w:szCs w:val="21"/>
              </w:rPr>
              <w:t>M</w:t>
            </w:r>
            <w:r>
              <w:rPr>
                <w:rFonts w:asciiTheme="minorEastAsia" w:hAnsiTheme="minorEastAsia"/>
                <w:szCs w:val="21"/>
              </w:rPr>
              <w:t>etrohm MIC-1</w:t>
            </w:r>
            <w:r>
              <w:rPr>
                <w:rFonts w:hint="eastAsia" w:asciiTheme="minorEastAsia" w:hAnsiTheme="minorEastAsia"/>
                <w:szCs w:val="21"/>
              </w:rPr>
              <w:t>离子色谱仪（C</w:t>
            </w:r>
            <w:r>
              <w:rPr>
                <w:rFonts w:asciiTheme="minorEastAsia" w:hAnsiTheme="minorEastAsia"/>
                <w:szCs w:val="21"/>
              </w:rPr>
              <w:t>ASTS-B0115</w:t>
            </w:r>
            <w:r>
              <w:rPr>
                <w:rFonts w:hint="eastAsia" w:asciiTheme="minorEastAsia" w:hAnsiTheme="minorEastAsia"/>
                <w:szCs w:val="21"/>
              </w:rPr>
              <w:t>）</w:t>
            </w:r>
          </w:p>
        </w:tc>
        <w:tc>
          <w:tcPr>
            <w:tcW w:w="683" w:type="pct"/>
            <w:tcBorders>
              <w:right w:val="single" w:color="auto" w:sz="4" w:space="0"/>
            </w:tcBorders>
            <w:vAlign w:val="center"/>
          </w:tcPr>
          <w:p w14:paraId="07A0429F">
            <w:pPr>
              <w:pStyle w:val="255"/>
              <w:rPr>
                <w:rFonts w:hint="eastAsia" w:asciiTheme="minorEastAsia" w:hAnsiTheme="minorEastAsia"/>
                <w:szCs w:val="21"/>
              </w:rPr>
            </w:pPr>
            <w:r>
              <w:rPr>
                <w:rFonts w:asciiTheme="minorEastAsia" w:hAnsiTheme="minorEastAsia"/>
                <w:szCs w:val="21"/>
              </w:rPr>
              <w:t>0.1</w:t>
            </w:r>
          </w:p>
        </w:tc>
      </w:tr>
      <w:tr w14:paraId="7E32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1E0F63A0">
            <w:pPr>
              <w:pStyle w:val="255"/>
              <w:rPr>
                <w:rFonts w:hint="eastAsia" w:asciiTheme="minorEastAsia" w:hAnsiTheme="minorEastAsia"/>
                <w:szCs w:val="21"/>
              </w:rPr>
            </w:pPr>
            <w:r>
              <w:rPr>
                <w:rFonts w:hint="eastAsia" w:asciiTheme="minorEastAsia" w:hAnsiTheme="minorEastAsia"/>
                <w:szCs w:val="21"/>
              </w:rPr>
              <w:t>硫酸根离子</w:t>
            </w:r>
          </w:p>
        </w:tc>
        <w:tc>
          <w:tcPr>
            <w:tcW w:w="1126" w:type="pct"/>
            <w:vAlign w:val="center"/>
          </w:tcPr>
          <w:p w14:paraId="4B82D9BD">
            <w:pPr>
              <w:pStyle w:val="255"/>
              <w:rPr>
                <w:rFonts w:hint="eastAsia" w:asciiTheme="minorEastAsia" w:hAnsiTheme="minorEastAsia"/>
                <w:szCs w:val="21"/>
              </w:rPr>
            </w:pPr>
            <w:r>
              <w:rPr>
                <w:rFonts w:hint="eastAsia" w:asciiTheme="minorEastAsia" w:hAnsiTheme="minorEastAsia"/>
                <w:szCs w:val="21"/>
              </w:rPr>
              <w:t>离子色谱法</w:t>
            </w:r>
          </w:p>
        </w:tc>
        <w:tc>
          <w:tcPr>
            <w:tcW w:w="1281" w:type="pct"/>
            <w:vAlign w:val="center"/>
          </w:tcPr>
          <w:p w14:paraId="1620C1BE">
            <w:pPr>
              <w:pStyle w:val="255"/>
              <w:rPr>
                <w:rFonts w:hint="eastAsia" w:asciiTheme="minorEastAsia" w:hAnsiTheme="minorEastAsia"/>
                <w:szCs w:val="21"/>
              </w:rPr>
            </w:pPr>
            <w:r>
              <w:rPr>
                <w:rFonts w:hint="eastAsia" w:asciiTheme="minorEastAsia" w:hAnsiTheme="minorEastAsia"/>
                <w:szCs w:val="21"/>
              </w:rPr>
              <w:t>《危险废物鉴别标准 浸出毒性鉴别》（5085.3-2007）附录</w:t>
            </w:r>
            <w:r>
              <w:rPr>
                <w:rFonts w:asciiTheme="minorEastAsia" w:hAnsiTheme="minorEastAsia"/>
                <w:szCs w:val="21"/>
              </w:rPr>
              <w:t>F</w:t>
            </w:r>
            <w:r>
              <w:rPr>
                <w:rFonts w:hint="eastAsia" w:asciiTheme="minorEastAsia" w:hAnsiTheme="minorEastAsia"/>
                <w:szCs w:val="21"/>
              </w:rPr>
              <w:t xml:space="preserve"> </w:t>
            </w:r>
          </w:p>
        </w:tc>
        <w:tc>
          <w:tcPr>
            <w:tcW w:w="1028" w:type="pct"/>
            <w:tcBorders>
              <w:right w:val="single" w:color="auto" w:sz="4" w:space="0"/>
            </w:tcBorders>
            <w:vAlign w:val="center"/>
          </w:tcPr>
          <w:p w14:paraId="6E328F98">
            <w:pPr>
              <w:pStyle w:val="255"/>
              <w:rPr>
                <w:rFonts w:hint="eastAsia" w:asciiTheme="minorEastAsia" w:hAnsiTheme="minorEastAsia"/>
                <w:szCs w:val="21"/>
              </w:rPr>
            </w:pPr>
            <w:r>
              <w:rPr>
                <w:rFonts w:hint="eastAsia" w:asciiTheme="minorEastAsia" w:hAnsiTheme="minorEastAsia"/>
                <w:szCs w:val="21"/>
              </w:rPr>
              <w:t>M</w:t>
            </w:r>
            <w:r>
              <w:rPr>
                <w:rFonts w:asciiTheme="minorEastAsia" w:hAnsiTheme="minorEastAsia"/>
                <w:szCs w:val="21"/>
              </w:rPr>
              <w:t>etrohm MIC-1</w:t>
            </w:r>
            <w:r>
              <w:rPr>
                <w:rFonts w:hint="eastAsia" w:asciiTheme="minorEastAsia" w:hAnsiTheme="minorEastAsia"/>
                <w:szCs w:val="21"/>
              </w:rPr>
              <w:t>离子色谱仪（C</w:t>
            </w:r>
            <w:r>
              <w:rPr>
                <w:rFonts w:asciiTheme="minorEastAsia" w:hAnsiTheme="minorEastAsia"/>
                <w:szCs w:val="21"/>
              </w:rPr>
              <w:t>ASTS-B0115</w:t>
            </w:r>
            <w:r>
              <w:rPr>
                <w:rFonts w:hint="eastAsia" w:asciiTheme="minorEastAsia" w:hAnsiTheme="minorEastAsia"/>
                <w:szCs w:val="21"/>
              </w:rPr>
              <w:t>）</w:t>
            </w:r>
          </w:p>
        </w:tc>
        <w:tc>
          <w:tcPr>
            <w:tcW w:w="683" w:type="pct"/>
            <w:tcBorders>
              <w:right w:val="single" w:color="auto" w:sz="4" w:space="0"/>
            </w:tcBorders>
            <w:vAlign w:val="center"/>
          </w:tcPr>
          <w:p w14:paraId="4B169A75">
            <w:pPr>
              <w:pStyle w:val="255"/>
              <w:rPr>
                <w:rFonts w:hint="eastAsia" w:asciiTheme="minorEastAsia" w:hAnsiTheme="minorEastAsia"/>
                <w:szCs w:val="21"/>
              </w:rPr>
            </w:pPr>
            <w:r>
              <w:rPr>
                <w:rFonts w:asciiTheme="minorEastAsia" w:hAnsiTheme="minorEastAsia"/>
                <w:szCs w:val="21"/>
              </w:rPr>
              <w:t>0.5</w:t>
            </w:r>
          </w:p>
        </w:tc>
      </w:tr>
      <w:tr w14:paraId="35EA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82" w:type="pct"/>
            <w:vAlign w:val="center"/>
          </w:tcPr>
          <w:p w14:paraId="4B680540">
            <w:pPr>
              <w:pStyle w:val="255"/>
              <w:rPr>
                <w:rFonts w:hint="eastAsia" w:asciiTheme="minorEastAsia" w:hAnsiTheme="minorEastAsia"/>
                <w:szCs w:val="21"/>
              </w:rPr>
            </w:pPr>
            <w:r>
              <w:rPr>
                <w:rFonts w:hint="eastAsia" w:asciiTheme="minorEastAsia" w:hAnsiTheme="minorEastAsia"/>
                <w:szCs w:val="21"/>
              </w:rPr>
              <w:t>苯</w:t>
            </w:r>
          </w:p>
        </w:tc>
        <w:tc>
          <w:tcPr>
            <w:tcW w:w="1126" w:type="pct"/>
            <w:vAlign w:val="center"/>
          </w:tcPr>
          <w:p w14:paraId="03676BA3">
            <w:pPr>
              <w:pStyle w:val="255"/>
              <w:rPr>
                <w:rFonts w:hint="eastAsia" w:asciiTheme="minorEastAsia" w:hAnsiTheme="minorEastAsia"/>
                <w:szCs w:val="21"/>
              </w:rPr>
            </w:pPr>
            <w:r>
              <w:rPr>
                <w:rFonts w:hint="eastAsia" w:asciiTheme="minorEastAsia" w:hAnsiTheme="minorEastAsia"/>
                <w:szCs w:val="21"/>
              </w:rPr>
              <w:t>气相色谱法</w:t>
            </w:r>
          </w:p>
        </w:tc>
        <w:tc>
          <w:tcPr>
            <w:tcW w:w="1281" w:type="pct"/>
            <w:vAlign w:val="center"/>
          </w:tcPr>
          <w:p w14:paraId="3DC184EF">
            <w:pPr>
              <w:pStyle w:val="255"/>
              <w:rPr>
                <w:rFonts w:hint="eastAsia" w:asciiTheme="minorEastAsia" w:hAnsiTheme="minorEastAsia"/>
                <w:szCs w:val="21"/>
              </w:rPr>
            </w:pPr>
            <w:r>
              <w:rPr>
                <w:rFonts w:hint="eastAsia" w:asciiTheme="minorEastAsia" w:hAnsiTheme="minorEastAsia"/>
                <w:szCs w:val="21"/>
              </w:rPr>
              <w:t>《危险废物鉴别标准 浸出毒性鉴别》（5085.3-2007）附录</w:t>
            </w:r>
            <w:r>
              <w:rPr>
                <w:rFonts w:asciiTheme="minorEastAsia" w:hAnsiTheme="minorEastAsia"/>
                <w:szCs w:val="21"/>
              </w:rPr>
              <w:t>O</w:t>
            </w:r>
          </w:p>
        </w:tc>
        <w:tc>
          <w:tcPr>
            <w:tcW w:w="1028" w:type="pct"/>
            <w:tcBorders>
              <w:right w:val="single" w:color="auto" w:sz="4" w:space="0"/>
            </w:tcBorders>
            <w:vAlign w:val="center"/>
          </w:tcPr>
          <w:p w14:paraId="56879710">
            <w:pPr>
              <w:pStyle w:val="255"/>
              <w:rPr>
                <w:rFonts w:hint="eastAsia" w:asciiTheme="minorEastAsia" w:hAnsiTheme="minorEastAsia"/>
                <w:szCs w:val="21"/>
              </w:rPr>
            </w:pPr>
            <w:r>
              <w:rPr>
                <w:rFonts w:hint="eastAsia" w:asciiTheme="minorEastAsia" w:hAnsiTheme="minorEastAsia"/>
                <w:szCs w:val="21"/>
              </w:rPr>
              <w:t>QP2010-GCMS 气相色谱-质谱联用仪（CASTS-B0114）</w:t>
            </w:r>
          </w:p>
        </w:tc>
        <w:tc>
          <w:tcPr>
            <w:tcW w:w="683" w:type="pct"/>
            <w:tcBorders>
              <w:right w:val="single" w:color="auto" w:sz="4" w:space="0"/>
            </w:tcBorders>
            <w:vAlign w:val="center"/>
          </w:tcPr>
          <w:p w14:paraId="7240D759">
            <w:pPr>
              <w:pStyle w:val="255"/>
              <w:rPr>
                <w:rFonts w:hint="eastAsia" w:asciiTheme="minorEastAsia" w:hAnsiTheme="minorEastAsia"/>
                <w:szCs w:val="21"/>
              </w:rPr>
            </w:pPr>
            <w:r>
              <w:rPr>
                <w:rFonts w:asciiTheme="minorEastAsia" w:hAnsiTheme="minorEastAsia"/>
                <w:szCs w:val="21"/>
              </w:rPr>
              <w:t>0.5</w:t>
            </w:r>
          </w:p>
        </w:tc>
      </w:tr>
      <w:bookmarkEnd w:id="1"/>
    </w:tbl>
    <w:p w14:paraId="0429D66B">
      <w:pPr>
        <w:pStyle w:val="253"/>
        <w:numPr>
          <w:ilvl w:val="0"/>
          <w:numId w:val="10"/>
        </w:numPr>
        <w:ind w:firstLineChars="0"/>
        <w:rPr>
          <w:rFonts w:hint="eastAsia" w:asciiTheme="minorEastAsia" w:hAnsiTheme="minorEastAsia"/>
          <w:b/>
          <w:sz w:val="28"/>
          <w:szCs w:val="28"/>
        </w:rPr>
      </w:pPr>
      <w:r>
        <w:rPr>
          <w:rFonts w:hint="eastAsia" w:asciiTheme="minorEastAsia" w:hAnsiTheme="minorEastAsia"/>
          <w:b/>
          <w:sz w:val="28"/>
          <w:szCs w:val="28"/>
        </w:rPr>
        <w:t>TA废料跟踪监测要求:</w:t>
      </w:r>
    </w:p>
    <w:p w14:paraId="448E682F">
      <w:pPr>
        <w:pStyle w:val="255"/>
        <w:spacing w:line="360" w:lineRule="auto"/>
        <w:ind w:left="135"/>
        <w:jc w:val="both"/>
        <w:rPr>
          <w:rFonts w:hint="eastAsia" w:ascii="宋体" w:hAnsi="宋体"/>
        </w:rPr>
      </w:pPr>
      <w:r>
        <w:rPr>
          <w:rFonts w:hint="eastAsia"/>
          <w:sz w:val="24"/>
          <w:szCs w:val="24"/>
        </w:rPr>
        <w:t>1、</w:t>
      </w:r>
      <w:r>
        <w:rPr>
          <w:sz w:val="24"/>
          <w:szCs w:val="24"/>
        </w:rPr>
        <w:t>浸出毒性鉴别</w:t>
      </w:r>
      <w:r>
        <w:rPr>
          <w:rFonts w:hint="eastAsia"/>
          <w:sz w:val="24"/>
          <w:szCs w:val="24"/>
        </w:rPr>
        <w:t>检测</w:t>
      </w:r>
      <w:r>
        <w:rPr>
          <w:sz w:val="24"/>
          <w:szCs w:val="24"/>
        </w:rPr>
        <w:t>项目</w:t>
      </w:r>
      <w:r>
        <w:rPr>
          <w:rFonts w:hint="eastAsia"/>
          <w:sz w:val="24"/>
          <w:szCs w:val="24"/>
        </w:rPr>
        <w:t>:</w:t>
      </w:r>
    </w:p>
    <w:p w14:paraId="150FC8C0">
      <w:pPr>
        <w:pStyle w:val="254"/>
        <w:ind w:firstLineChars="0"/>
        <w:rPr>
          <w:rFonts w:hint="eastAsia" w:asciiTheme="minorEastAsia" w:hAnsiTheme="minorEastAsia"/>
          <w:szCs w:val="24"/>
        </w:rPr>
      </w:pPr>
      <w:r>
        <w:rPr>
          <w:rFonts w:hint="eastAsia" w:asciiTheme="minorEastAsia" w:hAnsiTheme="minorEastAsia"/>
          <w:color w:val="auto"/>
          <w:szCs w:val="24"/>
        </w:rPr>
        <w:t>（一）、</w:t>
      </w:r>
      <w:r>
        <w:rPr>
          <w:color w:val="auto"/>
          <w:szCs w:val="24"/>
        </w:rPr>
        <w:t>本次浸出毒性鉴别选取</w:t>
      </w:r>
      <w:r>
        <w:rPr>
          <w:szCs w:val="24"/>
        </w:rPr>
        <w:t>镉、砷和二甲苯</w:t>
      </w:r>
      <w:r>
        <w:rPr>
          <w:rFonts w:hint="eastAsia"/>
          <w:szCs w:val="24"/>
        </w:rPr>
        <w:t>，</w:t>
      </w:r>
      <w:r>
        <w:rPr>
          <w:rFonts w:asciiTheme="minorEastAsia" w:hAnsiTheme="minorEastAsia"/>
          <w:szCs w:val="24"/>
        </w:rPr>
        <w:t>共3个检测</w:t>
      </w:r>
      <w:r>
        <w:rPr>
          <w:rFonts w:hint="eastAsia" w:asciiTheme="minorEastAsia" w:hAnsiTheme="minorEastAsia"/>
          <w:szCs w:val="24"/>
        </w:rPr>
        <w:t>项目</w:t>
      </w:r>
      <w:r>
        <w:rPr>
          <w:rFonts w:asciiTheme="minorEastAsia" w:hAnsiTheme="minorEastAsia"/>
          <w:szCs w:val="24"/>
        </w:rPr>
        <w:t>。</w:t>
      </w:r>
    </w:p>
    <w:p w14:paraId="6A47EDE3">
      <w:pPr>
        <w:pStyle w:val="254"/>
        <w:ind w:firstLineChars="0"/>
        <w:rPr>
          <w:rFonts w:hint="eastAsia" w:asciiTheme="minorEastAsia" w:hAnsiTheme="minorEastAsia"/>
          <w:color w:val="auto"/>
          <w:szCs w:val="24"/>
        </w:rPr>
      </w:pPr>
      <w:r>
        <w:rPr>
          <w:rFonts w:hint="eastAsia" w:asciiTheme="minorEastAsia" w:hAnsiTheme="minorEastAsia"/>
          <w:color w:val="auto"/>
          <w:szCs w:val="24"/>
        </w:rPr>
        <w:t>（二）</w:t>
      </w:r>
      <w:r>
        <w:rPr>
          <w:rFonts w:asciiTheme="minorEastAsia" w:hAnsiTheme="minorEastAsia"/>
          <w:color w:val="auto"/>
          <w:szCs w:val="24"/>
        </w:rPr>
        <w:t>浸出毒性鉴别检测方法、来源、设备及最低检出限</w:t>
      </w:r>
      <w:r>
        <w:rPr>
          <w:rFonts w:hint="eastAsia" w:asciiTheme="minorEastAsia" w:hAnsiTheme="minorEastAsia"/>
          <w:color w:val="auto"/>
          <w:szCs w:val="24"/>
        </w:rPr>
        <w:t>，</w:t>
      </w:r>
      <w:r>
        <w:rPr>
          <w:rFonts w:asciiTheme="minorEastAsia" w:hAnsiTheme="minorEastAsia"/>
          <w:color w:val="auto"/>
          <w:szCs w:val="24"/>
        </w:rPr>
        <w:t>如下表</w:t>
      </w:r>
      <w:r>
        <w:rPr>
          <w:rFonts w:hint="eastAsia" w:asciiTheme="minorEastAsia" w:hAnsiTheme="minorEastAsia"/>
          <w:color w:val="auto"/>
          <w:szCs w:val="24"/>
        </w:rPr>
        <w:t>：</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58"/>
        <w:gridCol w:w="3202"/>
        <w:gridCol w:w="2633"/>
      </w:tblGrid>
      <w:tr w14:paraId="068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2093" w:type="dxa"/>
            <w:vAlign w:val="center"/>
          </w:tcPr>
          <w:p w14:paraId="53BFBB83">
            <w:pPr>
              <w:pStyle w:val="255"/>
              <w:ind w:firstLine="480"/>
              <w:jc w:val="both"/>
              <w:rPr>
                <w:rFonts w:hint="eastAsia" w:asciiTheme="minorEastAsia" w:hAnsiTheme="minorEastAsia"/>
              </w:rPr>
            </w:pPr>
            <w:r>
              <w:rPr>
                <w:rFonts w:asciiTheme="minorEastAsia" w:hAnsiTheme="minorEastAsia"/>
              </w:rPr>
              <w:t>项目名称</w:t>
            </w:r>
          </w:p>
        </w:tc>
        <w:tc>
          <w:tcPr>
            <w:tcW w:w="2126" w:type="dxa"/>
            <w:vAlign w:val="center"/>
          </w:tcPr>
          <w:p w14:paraId="72CA8D48">
            <w:pPr>
              <w:pStyle w:val="255"/>
              <w:ind w:firstLine="480"/>
              <w:jc w:val="both"/>
              <w:rPr>
                <w:rFonts w:hint="eastAsia" w:asciiTheme="minorEastAsia" w:hAnsiTheme="minorEastAsia"/>
              </w:rPr>
            </w:pPr>
            <w:r>
              <w:rPr>
                <w:rFonts w:asciiTheme="minorEastAsia" w:hAnsiTheme="minorEastAsia"/>
              </w:rPr>
              <w:t>分析方法</w:t>
            </w:r>
          </w:p>
        </w:tc>
        <w:tc>
          <w:tcPr>
            <w:tcW w:w="3155" w:type="dxa"/>
            <w:vAlign w:val="center"/>
          </w:tcPr>
          <w:p w14:paraId="7838ACC3">
            <w:pPr>
              <w:pStyle w:val="255"/>
              <w:ind w:firstLine="840" w:firstLineChars="400"/>
              <w:jc w:val="both"/>
              <w:rPr>
                <w:rFonts w:hint="eastAsia" w:asciiTheme="minorEastAsia" w:hAnsiTheme="minorEastAsia"/>
              </w:rPr>
            </w:pPr>
            <w:r>
              <w:rPr>
                <w:rFonts w:asciiTheme="minorEastAsia" w:hAnsiTheme="minorEastAsia"/>
              </w:rPr>
              <w:t>方法来源</w:t>
            </w:r>
          </w:p>
        </w:tc>
        <w:tc>
          <w:tcPr>
            <w:tcW w:w="2594" w:type="dxa"/>
            <w:tcBorders>
              <w:right w:val="single" w:color="auto" w:sz="4" w:space="0"/>
            </w:tcBorders>
            <w:vAlign w:val="center"/>
          </w:tcPr>
          <w:p w14:paraId="0E76052F">
            <w:pPr>
              <w:pStyle w:val="255"/>
              <w:jc w:val="both"/>
              <w:rPr>
                <w:rFonts w:hint="eastAsia" w:asciiTheme="minorEastAsia" w:hAnsiTheme="minorEastAsia"/>
              </w:rPr>
            </w:pPr>
            <w:r>
              <w:rPr>
                <w:rFonts w:asciiTheme="minorEastAsia" w:hAnsiTheme="minorEastAsia"/>
              </w:rPr>
              <w:t>最低检出浓度（mg/L）</w:t>
            </w:r>
          </w:p>
        </w:tc>
      </w:tr>
      <w:tr w14:paraId="5C77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093" w:type="dxa"/>
            <w:vAlign w:val="center"/>
          </w:tcPr>
          <w:p w14:paraId="52006CD5">
            <w:pPr>
              <w:pStyle w:val="255"/>
              <w:jc w:val="both"/>
              <w:rPr>
                <w:rFonts w:hint="eastAsia" w:asciiTheme="minorEastAsia" w:hAnsiTheme="minorEastAsia"/>
              </w:rPr>
            </w:pPr>
            <w:r>
              <w:rPr>
                <w:rFonts w:asciiTheme="minorEastAsia" w:hAnsiTheme="minorEastAsia"/>
              </w:rPr>
              <w:t>镉（以总镉计）</w:t>
            </w:r>
          </w:p>
        </w:tc>
        <w:tc>
          <w:tcPr>
            <w:tcW w:w="2126" w:type="dxa"/>
          </w:tcPr>
          <w:p w14:paraId="7DDCB72B">
            <w:pPr>
              <w:pStyle w:val="255"/>
              <w:rPr>
                <w:rFonts w:hint="eastAsia" w:asciiTheme="minorEastAsia" w:hAnsiTheme="minorEastAsia"/>
                <w:szCs w:val="24"/>
              </w:rPr>
            </w:pPr>
            <w:r>
              <w:rPr>
                <w:rFonts w:asciiTheme="minorEastAsia" w:hAnsiTheme="minorEastAsia"/>
              </w:rPr>
              <w:t>电感耦合等离子体质谱法</w:t>
            </w:r>
          </w:p>
        </w:tc>
        <w:tc>
          <w:tcPr>
            <w:tcW w:w="3155" w:type="dxa"/>
            <w:vAlign w:val="center"/>
          </w:tcPr>
          <w:p w14:paraId="689C32E1">
            <w:pPr>
              <w:pStyle w:val="255"/>
              <w:rPr>
                <w:rFonts w:hint="eastAsia" w:asciiTheme="minorEastAsia" w:hAnsiTheme="minorEastAsia"/>
              </w:rPr>
            </w:pPr>
            <w:r>
              <w:rPr>
                <w:rFonts w:asciiTheme="minorEastAsia" w:hAnsiTheme="minorEastAsia"/>
              </w:rPr>
              <w:t>GB5085.3-2007附录B</w:t>
            </w:r>
          </w:p>
        </w:tc>
        <w:tc>
          <w:tcPr>
            <w:tcW w:w="2594" w:type="dxa"/>
            <w:tcBorders>
              <w:right w:val="single" w:color="auto" w:sz="4" w:space="0"/>
            </w:tcBorders>
            <w:vAlign w:val="center"/>
          </w:tcPr>
          <w:p w14:paraId="1C5FB126">
            <w:pPr>
              <w:pStyle w:val="255"/>
              <w:ind w:firstLine="480"/>
              <w:jc w:val="both"/>
              <w:rPr>
                <w:rFonts w:hint="eastAsia" w:asciiTheme="minorEastAsia" w:hAnsiTheme="minorEastAsia"/>
              </w:rPr>
            </w:pPr>
            <w:r>
              <w:rPr>
                <w:rFonts w:asciiTheme="minorEastAsia" w:hAnsiTheme="minorEastAsia"/>
              </w:rPr>
              <w:t xml:space="preserve">0.001 </w:t>
            </w:r>
          </w:p>
        </w:tc>
      </w:tr>
      <w:tr w14:paraId="63E3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093" w:type="dxa"/>
            <w:vAlign w:val="center"/>
          </w:tcPr>
          <w:p w14:paraId="5659EA2E">
            <w:pPr>
              <w:pStyle w:val="255"/>
              <w:jc w:val="both"/>
              <w:rPr>
                <w:rFonts w:hint="eastAsia" w:asciiTheme="minorEastAsia" w:hAnsiTheme="minorEastAsia"/>
              </w:rPr>
            </w:pPr>
            <w:r>
              <w:rPr>
                <w:rFonts w:asciiTheme="minorEastAsia" w:hAnsiTheme="minorEastAsia"/>
              </w:rPr>
              <w:t>砷（以总砷计）</w:t>
            </w:r>
          </w:p>
        </w:tc>
        <w:tc>
          <w:tcPr>
            <w:tcW w:w="2126" w:type="dxa"/>
            <w:vAlign w:val="center"/>
          </w:tcPr>
          <w:p w14:paraId="2EC47BE7">
            <w:pPr>
              <w:pStyle w:val="255"/>
              <w:rPr>
                <w:rFonts w:hint="eastAsia" w:asciiTheme="minorEastAsia" w:hAnsiTheme="minorEastAsia"/>
              </w:rPr>
            </w:pPr>
            <w:r>
              <w:rPr>
                <w:rFonts w:asciiTheme="minorEastAsia" w:hAnsiTheme="minorEastAsia"/>
              </w:rPr>
              <w:t>石墨炉原子吸收光谱法</w:t>
            </w:r>
          </w:p>
        </w:tc>
        <w:tc>
          <w:tcPr>
            <w:tcW w:w="3155" w:type="dxa"/>
            <w:vAlign w:val="center"/>
          </w:tcPr>
          <w:p w14:paraId="7A59CE7A">
            <w:pPr>
              <w:pStyle w:val="255"/>
              <w:rPr>
                <w:rFonts w:hint="eastAsia" w:asciiTheme="minorEastAsia" w:hAnsiTheme="minorEastAsia"/>
              </w:rPr>
            </w:pPr>
            <w:r>
              <w:rPr>
                <w:rFonts w:asciiTheme="minorEastAsia" w:hAnsiTheme="minorEastAsia"/>
              </w:rPr>
              <w:t>GB5085.3-2007附录C</w:t>
            </w:r>
          </w:p>
        </w:tc>
        <w:tc>
          <w:tcPr>
            <w:tcW w:w="2594" w:type="dxa"/>
            <w:tcBorders>
              <w:right w:val="single" w:color="auto" w:sz="4" w:space="0"/>
            </w:tcBorders>
            <w:vAlign w:val="center"/>
          </w:tcPr>
          <w:p w14:paraId="13EC9761">
            <w:pPr>
              <w:pStyle w:val="255"/>
              <w:ind w:firstLine="480"/>
              <w:jc w:val="both"/>
              <w:rPr>
                <w:rFonts w:hint="eastAsia" w:asciiTheme="minorEastAsia" w:hAnsiTheme="minorEastAsia"/>
              </w:rPr>
            </w:pPr>
            <w:r>
              <w:rPr>
                <w:rFonts w:asciiTheme="minorEastAsia" w:hAnsiTheme="minorEastAsia"/>
              </w:rPr>
              <w:t>0.05</w:t>
            </w:r>
          </w:p>
        </w:tc>
      </w:tr>
      <w:tr w14:paraId="0FE6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093" w:type="dxa"/>
            <w:vAlign w:val="center"/>
          </w:tcPr>
          <w:p w14:paraId="22D5584C">
            <w:pPr>
              <w:pStyle w:val="255"/>
              <w:jc w:val="both"/>
              <w:rPr>
                <w:rFonts w:hint="eastAsia" w:asciiTheme="minorEastAsia" w:hAnsiTheme="minorEastAsia"/>
              </w:rPr>
            </w:pPr>
            <w:r>
              <w:rPr>
                <w:rFonts w:asciiTheme="minorEastAsia" w:hAnsiTheme="minorEastAsia"/>
              </w:rPr>
              <w:t>二甲苯</w:t>
            </w:r>
          </w:p>
        </w:tc>
        <w:tc>
          <w:tcPr>
            <w:tcW w:w="2126" w:type="dxa"/>
            <w:vAlign w:val="center"/>
          </w:tcPr>
          <w:p w14:paraId="1A1557D5">
            <w:pPr>
              <w:pStyle w:val="255"/>
              <w:rPr>
                <w:rFonts w:hint="eastAsia" w:asciiTheme="minorEastAsia" w:hAnsiTheme="minorEastAsia"/>
              </w:rPr>
            </w:pPr>
            <w:r>
              <w:rPr>
                <w:rFonts w:asciiTheme="minorEastAsia" w:hAnsiTheme="minorEastAsia"/>
              </w:rPr>
              <w:t>气相色谱法</w:t>
            </w:r>
          </w:p>
        </w:tc>
        <w:tc>
          <w:tcPr>
            <w:tcW w:w="3155" w:type="dxa"/>
            <w:vAlign w:val="center"/>
          </w:tcPr>
          <w:p w14:paraId="74B7EC2C">
            <w:pPr>
              <w:pStyle w:val="255"/>
              <w:rPr>
                <w:rFonts w:hint="eastAsia" w:asciiTheme="minorEastAsia" w:hAnsiTheme="minorEastAsia"/>
              </w:rPr>
            </w:pPr>
            <w:r>
              <w:rPr>
                <w:rFonts w:asciiTheme="minorEastAsia" w:hAnsiTheme="minorEastAsia"/>
              </w:rPr>
              <w:t>GB5085.3-2007附录O</w:t>
            </w:r>
          </w:p>
        </w:tc>
        <w:tc>
          <w:tcPr>
            <w:tcW w:w="2594" w:type="dxa"/>
            <w:tcBorders>
              <w:right w:val="single" w:color="auto" w:sz="4" w:space="0"/>
            </w:tcBorders>
            <w:vAlign w:val="center"/>
          </w:tcPr>
          <w:p w14:paraId="48667FDD">
            <w:pPr>
              <w:pStyle w:val="255"/>
              <w:ind w:firstLine="480"/>
              <w:jc w:val="both"/>
              <w:rPr>
                <w:rFonts w:hint="eastAsia" w:asciiTheme="minorEastAsia" w:hAnsiTheme="minorEastAsia"/>
              </w:rPr>
            </w:pPr>
            <w:r>
              <w:rPr>
                <w:rFonts w:asciiTheme="minorEastAsia" w:hAnsiTheme="minorEastAsia"/>
              </w:rPr>
              <w:t>0.0005</w:t>
            </w:r>
          </w:p>
        </w:tc>
      </w:tr>
    </w:tbl>
    <w:p w14:paraId="70F7FE4B">
      <w:pPr>
        <w:pStyle w:val="255"/>
        <w:spacing w:line="360" w:lineRule="auto"/>
        <w:jc w:val="both"/>
        <w:rPr>
          <w:sz w:val="24"/>
          <w:szCs w:val="24"/>
        </w:rPr>
      </w:pPr>
    </w:p>
    <w:p w14:paraId="46358C98">
      <w:pPr>
        <w:pStyle w:val="255"/>
        <w:spacing w:line="360" w:lineRule="auto"/>
        <w:jc w:val="both"/>
        <w:rPr>
          <w:sz w:val="24"/>
          <w:szCs w:val="24"/>
        </w:rPr>
      </w:pPr>
      <w:r>
        <w:rPr>
          <w:rFonts w:hint="eastAsia"/>
          <w:sz w:val="24"/>
          <w:szCs w:val="24"/>
        </w:rPr>
        <w:t>2、</w:t>
      </w:r>
      <w:r>
        <w:rPr>
          <w:sz w:val="24"/>
          <w:szCs w:val="24"/>
        </w:rPr>
        <w:t>毒性物质含量</w:t>
      </w:r>
      <w:r>
        <w:rPr>
          <w:rFonts w:hint="eastAsia"/>
          <w:sz w:val="24"/>
          <w:szCs w:val="24"/>
        </w:rPr>
        <w:t>检测</w:t>
      </w:r>
      <w:r>
        <w:rPr>
          <w:sz w:val="24"/>
          <w:szCs w:val="24"/>
        </w:rPr>
        <w:t>项目</w:t>
      </w:r>
      <w:r>
        <w:rPr>
          <w:rFonts w:hint="eastAsia"/>
          <w:sz w:val="24"/>
          <w:szCs w:val="24"/>
        </w:rPr>
        <w:t>:</w:t>
      </w:r>
    </w:p>
    <w:p w14:paraId="770B17E5">
      <w:pPr>
        <w:pStyle w:val="254"/>
        <w:ind w:firstLineChars="0"/>
        <w:rPr>
          <w:szCs w:val="24"/>
        </w:rPr>
      </w:pPr>
      <w:r>
        <w:rPr>
          <w:rFonts w:hint="eastAsia"/>
          <w:color w:val="auto"/>
          <w:sz w:val="28"/>
        </w:rPr>
        <w:t>（一）、</w:t>
      </w:r>
      <w:r>
        <w:rPr>
          <w:color w:val="auto"/>
          <w:szCs w:val="24"/>
        </w:rPr>
        <w:t>本次毒性物质含量选取</w:t>
      </w:r>
      <w:r>
        <w:rPr>
          <w:szCs w:val="24"/>
        </w:rPr>
        <w:t>钴、锰、苯和1,4-二氯苯</w:t>
      </w:r>
      <w:r>
        <w:rPr>
          <w:rFonts w:hint="eastAsia"/>
          <w:szCs w:val="24"/>
        </w:rPr>
        <w:t>，</w:t>
      </w:r>
      <w:r>
        <w:rPr>
          <w:szCs w:val="24"/>
        </w:rPr>
        <w:t>共</w:t>
      </w:r>
      <w:r>
        <w:rPr>
          <w:rFonts w:hint="eastAsia"/>
          <w:szCs w:val="24"/>
        </w:rPr>
        <w:t>4</w:t>
      </w:r>
      <w:r>
        <w:rPr>
          <w:szCs w:val="24"/>
        </w:rPr>
        <w:t>个检测</w:t>
      </w:r>
      <w:r>
        <w:rPr>
          <w:rFonts w:hint="eastAsia"/>
          <w:szCs w:val="24"/>
        </w:rPr>
        <w:t>项目</w:t>
      </w:r>
      <w:r>
        <w:rPr>
          <w:szCs w:val="24"/>
        </w:rPr>
        <w:t>。</w:t>
      </w:r>
    </w:p>
    <w:p w14:paraId="067BD8FF">
      <w:pPr>
        <w:pStyle w:val="256"/>
        <w:jc w:val="both"/>
        <w:rPr>
          <w:sz w:val="24"/>
          <w:szCs w:val="24"/>
        </w:rPr>
      </w:pPr>
      <w:r>
        <w:rPr>
          <w:rFonts w:hint="eastAsia" w:eastAsiaTheme="minorEastAsia"/>
          <w:b w:val="0"/>
          <w:color w:val="auto"/>
          <w:spacing w:val="0"/>
          <w:sz w:val="24"/>
          <w:szCs w:val="24"/>
        </w:rPr>
        <w:t>（二）、</w:t>
      </w:r>
      <w:r>
        <w:rPr>
          <w:rFonts w:eastAsiaTheme="minorEastAsia"/>
          <w:b w:val="0"/>
          <w:color w:val="auto"/>
          <w:spacing w:val="0"/>
          <w:sz w:val="24"/>
          <w:szCs w:val="24"/>
        </w:rPr>
        <w:t>毒性物质含量鉴别检测方法、来源、设备及最低检出限</w:t>
      </w:r>
      <w:r>
        <w:rPr>
          <w:rFonts w:hint="eastAsia" w:eastAsiaTheme="minorEastAsia"/>
          <w:b w:val="0"/>
          <w:color w:val="auto"/>
          <w:spacing w:val="0"/>
          <w:sz w:val="24"/>
          <w:szCs w:val="24"/>
        </w:rPr>
        <w:t>，</w:t>
      </w:r>
      <w:r>
        <w:rPr>
          <w:rFonts w:eastAsiaTheme="minorEastAsia"/>
          <w:b w:val="0"/>
          <w:color w:val="auto"/>
          <w:spacing w:val="0"/>
          <w:sz w:val="24"/>
          <w:szCs w:val="24"/>
        </w:rPr>
        <w:t>如下表</w:t>
      </w:r>
      <w:r>
        <w:rPr>
          <w:rFonts w:hint="eastAsia" w:eastAsiaTheme="minorEastAsia"/>
          <w:b w:val="0"/>
          <w:color w:val="auto"/>
          <w:spacing w:val="0"/>
          <w:sz w:val="24"/>
          <w:szCs w:val="24"/>
        </w:rPr>
        <w:t>：</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647"/>
        <w:gridCol w:w="2924"/>
        <w:gridCol w:w="2592"/>
        <w:gridCol w:w="1653"/>
      </w:tblGrid>
      <w:tr w14:paraId="7AC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3" w:type="pct"/>
            <w:vAlign w:val="center"/>
          </w:tcPr>
          <w:p w14:paraId="3C2FF8C2">
            <w:pPr>
              <w:pStyle w:val="255"/>
              <w:jc w:val="both"/>
              <w:rPr>
                <w:rFonts w:hint="eastAsia" w:asciiTheme="minorEastAsia" w:hAnsiTheme="minorEastAsia"/>
                <w:szCs w:val="21"/>
              </w:rPr>
            </w:pPr>
            <w:r>
              <w:rPr>
                <w:rFonts w:asciiTheme="minorEastAsia" w:hAnsiTheme="minorEastAsia"/>
                <w:szCs w:val="21"/>
              </w:rPr>
              <w:t>项目名称</w:t>
            </w:r>
          </w:p>
        </w:tc>
        <w:tc>
          <w:tcPr>
            <w:tcW w:w="814" w:type="pct"/>
            <w:vAlign w:val="center"/>
          </w:tcPr>
          <w:p w14:paraId="283D6504">
            <w:pPr>
              <w:pStyle w:val="255"/>
              <w:ind w:firstLine="210" w:firstLineChars="100"/>
              <w:jc w:val="both"/>
              <w:rPr>
                <w:rFonts w:hint="eastAsia" w:asciiTheme="minorEastAsia" w:hAnsiTheme="minorEastAsia"/>
                <w:szCs w:val="21"/>
              </w:rPr>
            </w:pPr>
            <w:r>
              <w:rPr>
                <w:rFonts w:asciiTheme="minorEastAsia" w:hAnsiTheme="minorEastAsia"/>
                <w:szCs w:val="21"/>
              </w:rPr>
              <w:t>分析方法</w:t>
            </w:r>
          </w:p>
        </w:tc>
        <w:tc>
          <w:tcPr>
            <w:tcW w:w="1445" w:type="pct"/>
            <w:vAlign w:val="center"/>
          </w:tcPr>
          <w:p w14:paraId="2D311C66">
            <w:pPr>
              <w:pStyle w:val="255"/>
              <w:ind w:firstLine="480"/>
              <w:rPr>
                <w:rFonts w:hint="eastAsia" w:asciiTheme="minorEastAsia" w:hAnsiTheme="minorEastAsia"/>
                <w:szCs w:val="21"/>
              </w:rPr>
            </w:pPr>
            <w:r>
              <w:rPr>
                <w:rFonts w:asciiTheme="minorEastAsia" w:hAnsiTheme="minorEastAsia"/>
                <w:szCs w:val="21"/>
              </w:rPr>
              <w:t>方法来源</w:t>
            </w:r>
          </w:p>
        </w:tc>
        <w:tc>
          <w:tcPr>
            <w:tcW w:w="1281" w:type="pct"/>
            <w:tcBorders>
              <w:right w:val="single" w:color="auto" w:sz="4" w:space="0"/>
            </w:tcBorders>
            <w:vAlign w:val="center"/>
          </w:tcPr>
          <w:p w14:paraId="14B49191">
            <w:pPr>
              <w:pStyle w:val="255"/>
              <w:ind w:firstLine="480"/>
              <w:rPr>
                <w:rFonts w:hint="eastAsia" w:asciiTheme="minorEastAsia" w:hAnsiTheme="minorEastAsia"/>
                <w:szCs w:val="21"/>
              </w:rPr>
            </w:pPr>
            <w:r>
              <w:rPr>
                <w:rFonts w:asciiTheme="minorEastAsia" w:hAnsiTheme="minorEastAsia"/>
                <w:szCs w:val="21"/>
              </w:rPr>
              <w:t>检测设备</w:t>
            </w:r>
          </w:p>
        </w:tc>
        <w:tc>
          <w:tcPr>
            <w:tcW w:w="817" w:type="pct"/>
            <w:tcBorders>
              <w:right w:val="single" w:color="auto" w:sz="4" w:space="0"/>
            </w:tcBorders>
            <w:vAlign w:val="center"/>
          </w:tcPr>
          <w:p w14:paraId="310BB011">
            <w:pPr>
              <w:pStyle w:val="255"/>
              <w:jc w:val="both"/>
              <w:rPr>
                <w:rFonts w:hint="eastAsia" w:asciiTheme="minorEastAsia" w:hAnsiTheme="minorEastAsia"/>
                <w:szCs w:val="21"/>
              </w:rPr>
            </w:pPr>
            <w:r>
              <w:rPr>
                <w:rFonts w:asciiTheme="minorEastAsia" w:hAnsiTheme="minorEastAsia"/>
                <w:szCs w:val="21"/>
              </w:rPr>
              <w:t>最低检出限（mg/kg）</w:t>
            </w:r>
          </w:p>
        </w:tc>
      </w:tr>
      <w:tr w14:paraId="424A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3" w:type="pct"/>
            <w:vAlign w:val="center"/>
          </w:tcPr>
          <w:p w14:paraId="0EF6BAE1">
            <w:pPr>
              <w:pStyle w:val="255"/>
              <w:ind w:firstLine="480"/>
              <w:jc w:val="both"/>
              <w:rPr>
                <w:rFonts w:hint="eastAsia" w:asciiTheme="minorEastAsia" w:hAnsiTheme="minorEastAsia"/>
                <w:szCs w:val="21"/>
              </w:rPr>
            </w:pPr>
            <w:r>
              <w:rPr>
                <w:rFonts w:asciiTheme="minorEastAsia" w:hAnsiTheme="minorEastAsia"/>
                <w:szCs w:val="21"/>
              </w:rPr>
              <w:t>钴</w:t>
            </w:r>
          </w:p>
        </w:tc>
        <w:tc>
          <w:tcPr>
            <w:tcW w:w="814" w:type="pct"/>
            <w:vAlign w:val="center"/>
          </w:tcPr>
          <w:p w14:paraId="35CDA185">
            <w:pPr>
              <w:pStyle w:val="255"/>
              <w:rPr>
                <w:rFonts w:hint="eastAsia" w:asciiTheme="minorEastAsia" w:hAnsiTheme="minorEastAsia"/>
                <w:szCs w:val="21"/>
              </w:rPr>
            </w:pPr>
            <w:r>
              <w:rPr>
                <w:rFonts w:asciiTheme="minorEastAsia" w:hAnsiTheme="minorEastAsia"/>
                <w:szCs w:val="21"/>
              </w:rPr>
              <w:t>电感耦合等离子体质谱法</w:t>
            </w:r>
          </w:p>
        </w:tc>
        <w:tc>
          <w:tcPr>
            <w:tcW w:w="1445" w:type="pct"/>
            <w:vAlign w:val="center"/>
          </w:tcPr>
          <w:p w14:paraId="57B25094">
            <w:pPr>
              <w:pStyle w:val="255"/>
              <w:rPr>
                <w:rFonts w:hint="eastAsia" w:asciiTheme="minorEastAsia" w:hAnsiTheme="minorEastAsia"/>
                <w:szCs w:val="21"/>
              </w:rPr>
            </w:pPr>
            <w:r>
              <w:rPr>
                <w:rFonts w:asciiTheme="minorEastAsia" w:hAnsiTheme="minorEastAsia"/>
                <w:szCs w:val="21"/>
              </w:rPr>
              <w:t>《危险废物鉴别标准 浸出毒性鉴别》（5085.3-2007）附录B</w:t>
            </w:r>
          </w:p>
        </w:tc>
        <w:tc>
          <w:tcPr>
            <w:tcW w:w="1281" w:type="pct"/>
            <w:tcBorders>
              <w:right w:val="single" w:color="auto" w:sz="4" w:space="0"/>
            </w:tcBorders>
            <w:vAlign w:val="center"/>
          </w:tcPr>
          <w:p w14:paraId="53884DE8">
            <w:pPr>
              <w:pStyle w:val="255"/>
              <w:jc w:val="both"/>
              <w:rPr>
                <w:rFonts w:hint="eastAsia" w:asciiTheme="minorEastAsia" w:hAnsiTheme="minorEastAsia"/>
                <w:szCs w:val="21"/>
              </w:rPr>
            </w:pPr>
            <w:r>
              <w:rPr>
                <w:rFonts w:asciiTheme="minorEastAsia" w:hAnsiTheme="minorEastAsia"/>
                <w:szCs w:val="21"/>
              </w:rPr>
              <w:t>ICAP RQ电感耦合等离子体质谱仪（CASTS-B0027）</w:t>
            </w:r>
          </w:p>
        </w:tc>
        <w:tc>
          <w:tcPr>
            <w:tcW w:w="817" w:type="pct"/>
            <w:tcBorders>
              <w:right w:val="single" w:color="auto" w:sz="4" w:space="0"/>
            </w:tcBorders>
            <w:vAlign w:val="center"/>
          </w:tcPr>
          <w:p w14:paraId="35234F45">
            <w:pPr>
              <w:pStyle w:val="255"/>
              <w:ind w:firstLine="480"/>
              <w:jc w:val="both"/>
              <w:rPr>
                <w:rFonts w:hint="eastAsia" w:asciiTheme="minorEastAsia" w:hAnsiTheme="minorEastAsia"/>
                <w:szCs w:val="21"/>
                <w:highlight w:val="yellow"/>
              </w:rPr>
            </w:pPr>
            <w:r>
              <w:rPr>
                <w:rFonts w:asciiTheme="minorEastAsia" w:hAnsiTheme="minorEastAsia"/>
                <w:szCs w:val="21"/>
              </w:rPr>
              <w:t>0.10</w:t>
            </w:r>
          </w:p>
        </w:tc>
      </w:tr>
      <w:tr w14:paraId="211D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3" w:type="pct"/>
            <w:vAlign w:val="center"/>
          </w:tcPr>
          <w:p w14:paraId="0934D9DA">
            <w:pPr>
              <w:pStyle w:val="255"/>
              <w:ind w:firstLine="480"/>
              <w:jc w:val="both"/>
              <w:rPr>
                <w:rFonts w:hint="eastAsia" w:asciiTheme="minorEastAsia" w:hAnsiTheme="minorEastAsia"/>
                <w:szCs w:val="21"/>
              </w:rPr>
            </w:pPr>
            <w:r>
              <w:rPr>
                <w:rFonts w:asciiTheme="minorEastAsia" w:hAnsiTheme="minorEastAsia"/>
                <w:szCs w:val="21"/>
              </w:rPr>
              <w:t>锰</w:t>
            </w:r>
          </w:p>
        </w:tc>
        <w:tc>
          <w:tcPr>
            <w:tcW w:w="814" w:type="pct"/>
            <w:vAlign w:val="center"/>
          </w:tcPr>
          <w:p w14:paraId="7A8E3855">
            <w:pPr>
              <w:pStyle w:val="255"/>
              <w:rPr>
                <w:rFonts w:hint="eastAsia" w:asciiTheme="minorEastAsia" w:hAnsiTheme="minorEastAsia"/>
                <w:szCs w:val="21"/>
              </w:rPr>
            </w:pPr>
            <w:r>
              <w:rPr>
                <w:rFonts w:asciiTheme="minorEastAsia" w:hAnsiTheme="minorEastAsia"/>
                <w:szCs w:val="21"/>
              </w:rPr>
              <w:t>电感耦合等离子体质谱法</w:t>
            </w:r>
          </w:p>
        </w:tc>
        <w:tc>
          <w:tcPr>
            <w:tcW w:w="1445" w:type="pct"/>
            <w:vAlign w:val="center"/>
          </w:tcPr>
          <w:p w14:paraId="4CC72EBB">
            <w:pPr>
              <w:pStyle w:val="255"/>
              <w:rPr>
                <w:rFonts w:hint="eastAsia" w:asciiTheme="minorEastAsia" w:hAnsiTheme="minorEastAsia"/>
                <w:szCs w:val="21"/>
              </w:rPr>
            </w:pPr>
            <w:r>
              <w:rPr>
                <w:rFonts w:asciiTheme="minorEastAsia" w:hAnsiTheme="minorEastAsia"/>
                <w:szCs w:val="21"/>
              </w:rPr>
              <w:t>《危险废物鉴别标准 浸出毒性鉴别》（5085.3-2007）附录B</w:t>
            </w:r>
          </w:p>
        </w:tc>
        <w:tc>
          <w:tcPr>
            <w:tcW w:w="1281" w:type="pct"/>
            <w:tcBorders>
              <w:right w:val="single" w:color="auto" w:sz="4" w:space="0"/>
            </w:tcBorders>
            <w:vAlign w:val="center"/>
          </w:tcPr>
          <w:p w14:paraId="762F8448">
            <w:pPr>
              <w:pStyle w:val="255"/>
              <w:jc w:val="both"/>
              <w:rPr>
                <w:rFonts w:hint="eastAsia" w:asciiTheme="minorEastAsia" w:hAnsiTheme="minorEastAsia"/>
                <w:szCs w:val="21"/>
              </w:rPr>
            </w:pPr>
            <w:r>
              <w:rPr>
                <w:rFonts w:asciiTheme="minorEastAsia" w:hAnsiTheme="minorEastAsia"/>
                <w:szCs w:val="21"/>
              </w:rPr>
              <w:t>ICAP RQ电感耦合等离子体质谱仪（CASTS-B0027）</w:t>
            </w:r>
          </w:p>
        </w:tc>
        <w:tc>
          <w:tcPr>
            <w:tcW w:w="817" w:type="pct"/>
            <w:tcBorders>
              <w:right w:val="single" w:color="auto" w:sz="4" w:space="0"/>
            </w:tcBorders>
            <w:vAlign w:val="center"/>
          </w:tcPr>
          <w:p w14:paraId="2BBC4B4B">
            <w:pPr>
              <w:pStyle w:val="255"/>
              <w:ind w:firstLine="480"/>
              <w:jc w:val="both"/>
              <w:rPr>
                <w:rFonts w:hint="eastAsia" w:asciiTheme="minorEastAsia" w:hAnsiTheme="minorEastAsia"/>
                <w:szCs w:val="21"/>
                <w:highlight w:val="yellow"/>
              </w:rPr>
            </w:pPr>
            <w:r>
              <w:rPr>
                <w:rFonts w:asciiTheme="minorEastAsia" w:hAnsiTheme="minorEastAsia"/>
                <w:szCs w:val="21"/>
              </w:rPr>
              <w:t>0.10</w:t>
            </w:r>
          </w:p>
        </w:tc>
      </w:tr>
      <w:tr w14:paraId="577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3" w:type="pct"/>
            <w:vAlign w:val="center"/>
          </w:tcPr>
          <w:p w14:paraId="5452DC97">
            <w:pPr>
              <w:pStyle w:val="255"/>
              <w:ind w:firstLine="480"/>
              <w:jc w:val="both"/>
              <w:rPr>
                <w:rFonts w:hint="eastAsia" w:asciiTheme="minorEastAsia" w:hAnsiTheme="minorEastAsia"/>
                <w:szCs w:val="21"/>
              </w:rPr>
            </w:pPr>
            <w:r>
              <w:rPr>
                <w:rFonts w:asciiTheme="minorEastAsia" w:hAnsiTheme="minorEastAsia"/>
                <w:szCs w:val="21"/>
              </w:rPr>
              <w:t>苯</w:t>
            </w:r>
          </w:p>
        </w:tc>
        <w:tc>
          <w:tcPr>
            <w:tcW w:w="814" w:type="pct"/>
            <w:vAlign w:val="center"/>
          </w:tcPr>
          <w:p w14:paraId="47406ADA">
            <w:pPr>
              <w:pStyle w:val="255"/>
              <w:rPr>
                <w:rFonts w:hint="eastAsia" w:asciiTheme="minorEastAsia" w:hAnsiTheme="minorEastAsia"/>
                <w:szCs w:val="21"/>
              </w:rPr>
            </w:pPr>
            <w:r>
              <w:rPr>
                <w:rFonts w:asciiTheme="minorEastAsia" w:hAnsiTheme="minorEastAsia"/>
                <w:szCs w:val="21"/>
              </w:rPr>
              <w:t>气相色谱法</w:t>
            </w:r>
          </w:p>
        </w:tc>
        <w:tc>
          <w:tcPr>
            <w:tcW w:w="1445" w:type="pct"/>
            <w:vAlign w:val="center"/>
          </w:tcPr>
          <w:p w14:paraId="09EB5961">
            <w:pPr>
              <w:pStyle w:val="255"/>
              <w:rPr>
                <w:rFonts w:hint="eastAsia" w:asciiTheme="minorEastAsia" w:hAnsiTheme="minorEastAsia"/>
                <w:szCs w:val="21"/>
              </w:rPr>
            </w:pPr>
            <w:r>
              <w:rPr>
                <w:rFonts w:asciiTheme="minorEastAsia" w:hAnsiTheme="minorEastAsia"/>
                <w:szCs w:val="21"/>
              </w:rPr>
              <w:t>《危险废物鉴别标准 浸出毒性鉴别》（5085.3-2007）附录O</w:t>
            </w:r>
          </w:p>
        </w:tc>
        <w:tc>
          <w:tcPr>
            <w:tcW w:w="1281" w:type="pct"/>
            <w:tcBorders>
              <w:right w:val="single" w:color="auto" w:sz="4" w:space="0"/>
            </w:tcBorders>
            <w:vAlign w:val="center"/>
          </w:tcPr>
          <w:p w14:paraId="6E1FB06C">
            <w:pPr>
              <w:pStyle w:val="255"/>
              <w:rPr>
                <w:rFonts w:hint="eastAsia" w:asciiTheme="minorEastAsia" w:hAnsiTheme="minorEastAsia"/>
                <w:szCs w:val="21"/>
              </w:rPr>
            </w:pPr>
            <w:r>
              <w:rPr>
                <w:rFonts w:asciiTheme="minorEastAsia" w:hAnsiTheme="minorEastAsia"/>
                <w:szCs w:val="21"/>
              </w:rPr>
              <w:t>QP2010-GCMS 气相色谱-质谱联用仪（CASTS-B0114）</w:t>
            </w:r>
          </w:p>
        </w:tc>
        <w:tc>
          <w:tcPr>
            <w:tcW w:w="817" w:type="pct"/>
            <w:tcBorders>
              <w:right w:val="single" w:color="auto" w:sz="4" w:space="0"/>
            </w:tcBorders>
            <w:vAlign w:val="center"/>
          </w:tcPr>
          <w:p w14:paraId="4587D0B7">
            <w:pPr>
              <w:pStyle w:val="255"/>
              <w:ind w:firstLine="480"/>
              <w:jc w:val="both"/>
              <w:rPr>
                <w:rFonts w:hint="eastAsia" w:asciiTheme="minorEastAsia" w:hAnsiTheme="minorEastAsia"/>
                <w:szCs w:val="21"/>
              </w:rPr>
            </w:pPr>
            <w:r>
              <w:rPr>
                <w:rFonts w:asciiTheme="minorEastAsia" w:hAnsiTheme="minorEastAsia"/>
                <w:szCs w:val="21"/>
              </w:rPr>
              <w:t>0.05</w:t>
            </w:r>
          </w:p>
        </w:tc>
      </w:tr>
      <w:tr w14:paraId="6FF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3" w:type="pct"/>
            <w:vAlign w:val="center"/>
          </w:tcPr>
          <w:p w14:paraId="0E06F7B0">
            <w:pPr>
              <w:pStyle w:val="255"/>
              <w:rPr>
                <w:rFonts w:hint="eastAsia" w:asciiTheme="minorEastAsia" w:hAnsiTheme="minorEastAsia"/>
                <w:szCs w:val="21"/>
              </w:rPr>
            </w:pPr>
            <w:r>
              <w:rPr>
                <w:rFonts w:asciiTheme="minorEastAsia" w:hAnsiTheme="minorEastAsia"/>
                <w:szCs w:val="21"/>
              </w:rPr>
              <w:t>1,4-二氯苯</w:t>
            </w:r>
          </w:p>
        </w:tc>
        <w:tc>
          <w:tcPr>
            <w:tcW w:w="814" w:type="pct"/>
            <w:vAlign w:val="center"/>
          </w:tcPr>
          <w:p w14:paraId="09755098">
            <w:pPr>
              <w:pStyle w:val="255"/>
              <w:rPr>
                <w:rFonts w:hint="eastAsia" w:asciiTheme="minorEastAsia" w:hAnsiTheme="minorEastAsia"/>
                <w:szCs w:val="21"/>
              </w:rPr>
            </w:pPr>
            <w:r>
              <w:rPr>
                <w:rFonts w:asciiTheme="minorEastAsia" w:hAnsiTheme="minorEastAsia"/>
                <w:szCs w:val="21"/>
              </w:rPr>
              <w:t>气相色谱法</w:t>
            </w:r>
          </w:p>
        </w:tc>
        <w:tc>
          <w:tcPr>
            <w:tcW w:w="1445" w:type="pct"/>
            <w:vAlign w:val="center"/>
          </w:tcPr>
          <w:p w14:paraId="3D223280">
            <w:pPr>
              <w:pStyle w:val="255"/>
              <w:rPr>
                <w:rFonts w:hint="eastAsia" w:asciiTheme="minorEastAsia" w:hAnsiTheme="minorEastAsia"/>
                <w:szCs w:val="21"/>
              </w:rPr>
            </w:pPr>
            <w:r>
              <w:rPr>
                <w:rFonts w:asciiTheme="minorEastAsia" w:hAnsiTheme="minorEastAsia"/>
                <w:szCs w:val="21"/>
              </w:rPr>
              <w:t>《危险废物鉴别标准 浸出毒性鉴别》（5085.3-2007）附录O</w:t>
            </w:r>
          </w:p>
        </w:tc>
        <w:tc>
          <w:tcPr>
            <w:tcW w:w="1281" w:type="pct"/>
            <w:tcBorders>
              <w:right w:val="single" w:color="auto" w:sz="4" w:space="0"/>
            </w:tcBorders>
            <w:vAlign w:val="center"/>
          </w:tcPr>
          <w:p w14:paraId="55CA3D1B">
            <w:pPr>
              <w:pStyle w:val="255"/>
              <w:rPr>
                <w:rFonts w:hint="eastAsia" w:asciiTheme="minorEastAsia" w:hAnsiTheme="minorEastAsia"/>
                <w:szCs w:val="21"/>
              </w:rPr>
            </w:pPr>
            <w:r>
              <w:rPr>
                <w:rFonts w:asciiTheme="minorEastAsia" w:hAnsiTheme="minorEastAsia"/>
                <w:szCs w:val="21"/>
              </w:rPr>
              <w:t>QP2010-GCMS 气相色谱-质谱联用仪（CASTS-B0114）</w:t>
            </w:r>
          </w:p>
        </w:tc>
        <w:tc>
          <w:tcPr>
            <w:tcW w:w="817" w:type="pct"/>
            <w:tcBorders>
              <w:right w:val="single" w:color="auto" w:sz="4" w:space="0"/>
            </w:tcBorders>
            <w:vAlign w:val="center"/>
          </w:tcPr>
          <w:p w14:paraId="41AFBDF3">
            <w:pPr>
              <w:pStyle w:val="255"/>
              <w:ind w:firstLine="480"/>
              <w:jc w:val="both"/>
              <w:rPr>
                <w:rFonts w:hint="eastAsia" w:asciiTheme="minorEastAsia" w:hAnsiTheme="minorEastAsia"/>
                <w:szCs w:val="21"/>
              </w:rPr>
            </w:pPr>
            <w:r>
              <w:rPr>
                <w:rFonts w:asciiTheme="minorEastAsia" w:hAnsiTheme="minorEastAsia"/>
                <w:szCs w:val="21"/>
              </w:rPr>
              <w:t>0.05</w:t>
            </w:r>
          </w:p>
        </w:tc>
      </w:tr>
    </w:tbl>
    <w:p w14:paraId="30E7DAF8">
      <w:pPr>
        <w:pStyle w:val="253"/>
        <w:numPr>
          <w:ilvl w:val="0"/>
          <w:numId w:val="10"/>
        </w:numPr>
        <w:ind w:firstLineChars="0"/>
        <w:rPr>
          <w:rFonts w:hint="eastAsia" w:asciiTheme="minorEastAsia" w:hAnsiTheme="minorEastAsia"/>
          <w:b/>
          <w:sz w:val="28"/>
          <w:szCs w:val="28"/>
        </w:rPr>
      </w:pPr>
      <w:r>
        <w:rPr>
          <w:rFonts w:hint="eastAsia" w:asciiTheme="minorEastAsia" w:hAnsiTheme="minorEastAsia"/>
          <w:b/>
          <w:sz w:val="28"/>
          <w:szCs w:val="28"/>
        </w:rPr>
        <w:t>样品采样:</w:t>
      </w:r>
    </w:p>
    <w:p w14:paraId="6653E4B6">
      <w:pPr>
        <w:snapToGrid w:val="0"/>
        <w:spacing w:line="360" w:lineRule="auto"/>
        <w:jc w:val="left"/>
        <w:rPr>
          <w:rFonts w:hint="eastAsia"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采样要求</w:t>
      </w:r>
      <w:r>
        <w:rPr>
          <w:rFonts w:hint="eastAsia" w:asciiTheme="minorEastAsia" w:hAnsiTheme="minorEastAsia"/>
          <w:sz w:val="24"/>
          <w:szCs w:val="24"/>
        </w:rPr>
        <w:t>:</w:t>
      </w:r>
    </w:p>
    <w:p w14:paraId="487219C0">
      <w:pPr>
        <w:pStyle w:val="77"/>
        <w:spacing w:line="360" w:lineRule="auto"/>
        <w:ind w:firstLine="480" w:firstLineChars="200"/>
        <w:jc w:val="both"/>
        <w:rPr>
          <w:rFonts w:hint="eastAsia" w:cs="宋体" w:asciiTheme="majorEastAsia" w:hAnsiTheme="majorEastAsia" w:eastAsiaTheme="majorEastAsia"/>
          <w:color w:val="auto"/>
          <w:szCs w:val="20"/>
          <w:lang w:val="zh-CN" w:eastAsia="zh-CN"/>
        </w:rPr>
      </w:pPr>
      <w:r>
        <w:rPr>
          <w:rFonts w:cs="宋体" w:asciiTheme="majorEastAsia" w:hAnsiTheme="majorEastAsia" w:eastAsiaTheme="majorEastAsia"/>
          <w:color w:val="auto"/>
          <w:szCs w:val="20"/>
          <w:lang w:val="zh-CN" w:eastAsia="zh-CN"/>
        </w:rPr>
        <w:t>采集：按《工业固体废物采样制样技术规范（HJT 20-1998）》和《危险废物鉴别技术规范》（HJ/T298-2019）进行采集样品。</w:t>
      </w:r>
    </w:p>
    <w:p w14:paraId="1EBE5964">
      <w:pPr>
        <w:pStyle w:val="77"/>
        <w:spacing w:line="360" w:lineRule="auto"/>
        <w:ind w:firstLine="480" w:firstLineChars="200"/>
        <w:jc w:val="both"/>
        <w:rPr>
          <w:rFonts w:hint="eastAsia" w:cs="宋体" w:asciiTheme="majorEastAsia" w:hAnsiTheme="majorEastAsia" w:eastAsiaTheme="majorEastAsia"/>
          <w:color w:val="auto"/>
          <w:szCs w:val="20"/>
          <w:lang w:val="zh-CN" w:eastAsia="zh-CN"/>
        </w:rPr>
      </w:pPr>
      <w:r>
        <w:rPr>
          <w:rFonts w:cs="宋体" w:asciiTheme="majorEastAsia" w:hAnsiTheme="majorEastAsia" w:eastAsiaTheme="majorEastAsia"/>
          <w:color w:val="auto"/>
          <w:szCs w:val="20"/>
          <w:lang w:val="zh-CN" w:eastAsia="zh-CN"/>
        </w:rPr>
        <w:t>样品保存容器：双标签采样袋及经过处理并且不含金属的玻璃采样瓶；</w:t>
      </w:r>
    </w:p>
    <w:p w14:paraId="7069FAC4">
      <w:pPr>
        <w:pStyle w:val="77"/>
        <w:spacing w:line="360" w:lineRule="auto"/>
        <w:jc w:val="both"/>
        <w:rPr>
          <w:rFonts w:hint="eastAsia" w:cs="宋体" w:asciiTheme="majorEastAsia" w:hAnsiTheme="majorEastAsia" w:eastAsiaTheme="majorEastAsia"/>
          <w:color w:val="auto"/>
          <w:szCs w:val="20"/>
          <w:lang w:val="zh-CN" w:eastAsia="zh-CN"/>
        </w:rPr>
      </w:pPr>
      <w:r>
        <w:rPr>
          <w:rFonts w:cs="宋体" w:asciiTheme="majorEastAsia" w:hAnsiTheme="majorEastAsia" w:eastAsiaTheme="majorEastAsia"/>
          <w:color w:val="auto"/>
          <w:szCs w:val="20"/>
          <w:lang w:val="zh-CN" w:eastAsia="zh-CN"/>
        </w:rPr>
        <w:t>采样工具：木铲或竹铲；</w:t>
      </w:r>
    </w:p>
    <w:p w14:paraId="372BCCF3">
      <w:pPr>
        <w:pStyle w:val="77"/>
        <w:spacing w:line="360" w:lineRule="auto"/>
        <w:ind w:firstLine="480" w:firstLineChars="200"/>
        <w:jc w:val="both"/>
        <w:rPr>
          <w:rFonts w:hint="eastAsia" w:cs="宋体" w:asciiTheme="majorEastAsia" w:hAnsiTheme="majorEastAsia" w:eastAsiaTheme="majorEastAsia"/>
          <w:color w:val="auto"/>
          <w:szCs w:val="20"/>
          <w:lang w:val="zh-CN" w:eastAsia="zh-CN"/>
        </w:rPr>
      </w:pPr>
      <w:r>
        <w:rPr>
          <w:rFonts w:cs="宋体" w:asciiTheme="majorEastAsia" w:hAnsiTheme="majorEastAsia" w:eastAsiaTheme="majorEastAsia"/>
          <w:color w:val="auto"/>
          <w:szCs w:val="20"/>
          <w:lang w:val="zh-CN" w:eastAsia="zh-CN"/>
        </w:rPr>
        <w:t>运输：样品放在保温箱中寄送，以保证在低温密闭的环境下运输；</w:t>
      </w:r>
    </w:p>
    <w:p w14:paraId="7A5C5C31">
      <w:pPr>
        <w:pStyle w:val="77"/>
        <w:spacing w:line="360" w:lineRule="auto"/>
        <w:ind w:firstLine="480" w:firstLineChars="200"/>
        <w:jc w:val="both"/>
        <w:rPr>
          <w:rFonts w:hint="eastAsia" w:ascii="宋体" w:hAnsi="宋体" w:eastAsia="宋体" w:cs="Times New Roman"/>
        </w:rPr>
      </w:pPr>
      <w:r>
        <w:rPr>
          <w:rFonts w:cs="宋体" w:asciiTheme="majorEastAsia" w:hAnsiTheme="majorEastAsia" w:eastAsiaTheme="majorEastAsia"/>
          <w:color w:val="auto"/>
          <w:szCs w:val="20"/>
          <w:lang w:val="zh-CN" w:eastAsia="zh-CN"/>
        </w:rPr>
        <w:t>样品分析：按《危险废物鉴别标准-浸出毒性鉴别》（GB5085.3-2007）进行</w:t>
      </w:r>
      <w:r>
        <w:rPr>
          <w:rFonts w:ascii="宋体" w:hAnsi="宋体" w:eastAsia="宋体" w:cs="Times New Roman"/>
        </w:rPr>
        <w:t>。</w:t>
      </w:r>
    </w:p>
    <w:p w14:paraId="043851A5">
      <w:pPr>
        <w:pStyle w:val="253"/>
        <w:numPr>
          <w:ilvl w:val="0"/>
          <w:numId w:val="11"/>
        </w:numPr>
        <w:snapToGrid w:val="0"/>
        <w:spacing w:line="360" w:lineRule="auto"/>
        <w:ind w:firstLineChars="0"/>
        <w:jc w:val="left"/>
        <w:rPr>
          <w:rFonts w:hint="eastAsia" w:ascii="宋体" w:hAnsi="宋体" w:eastAsia="宋体" w:cs="Times New Roman"/>
          <w:sz w:val="24"/>
          <w:szCs w:val="24"/>
        </w:rPr>
      </w:pPr>
      <w:r>
        <w:rPr>
          <w:rFonts w:hint="eastAsia" w:asciiTheme="minorEastAsia" w:hAnsiTheme="minorEastAsia"/>
          <w:sz w:val="24"/>
          <w:szCs w:val="24"/>
        </w:rPr>
        <w:t>样品份数:</w:t>
      </w:r>
    </w:p>
    <w:p w14:paraId="3DB08809">
      <w:pPr>
        <w:pStyle w:val="257"/>
        <w:ind w:firstLine="480"/>
        <w:rPr>
          <w:rFonts w:hint="eastAsia" w:cs="Times New Roman" w:asciiTheme="minorEastAsia" w:hAnsiTheme="minorEastAsia" w:eastAsiaTheme="minorEastAsia"/>
          <w:color w:val="auto"/>
          <w:szCs w:val="24"/>
          <w:lang w:eastAsia="zh-CN"/>
        </w:rPr>
      </w:pPr>
      <w:r>
        <w:rPr>
          <w:rFonts w:cs="Times New Roman" w:asciiTheme="minorEastAsia" w:hAnsiTheme="minorEastAsia" w:eastAsiaTheme="minorEastAsia"/>
          <w:color w:val="auto"/>
          <w:szCs w:val="24"/>
        </w:rPr>
        <w:t>本次采样样品份数为</w:t>
      </w:r>
      <w:r>
        <w:rPr>
          <w:rFonts w:hint="eastAsia" w:cs="Times New Roman" w:asciiTheme="minorEastAsia" w:hAnsiTheme="minorEastAsia" w:eastAsiaTheme="minorEastAsia"/>
          <w:color w:val="auto"/>
          <w:szCs w:val="24"/>
          <w:lang w:eastAsia="zh-CN"/>
        </w:rPr>
        <w:t>5份。</w:t>
      </w:r>
    </w:p>
    <w:p w14:paraId="08B05A72">
      <w:pPr>
        <w:pStyle w:val="257"/>
        <w:ind w:firstLine="0" w:firstLineChars="0"/>
        <w:rPr>
          <w:rFonts w:hint="eastAsia" w:cs="Times New Roman" w:asciiTheme="minorEastAsia" w:hAnsiTheme="minorEastAsia" w:eastAsiaTheme="minorEastAsia"/>
          <w:bCs/>
          <w:color w:val="auto"/>
          <w:szCs w:val="24"/>
          <w:lang w:eastAsia="zh-CN"/>
        </w:rPr>
      </w:pPr>
      <w:r>
        <w:rPr>
          <w:rFonts w:hint="eastAsia" w:asciiTheme="minorEastAsia" w:hAnsiTheme="minorEastAsia" w:eastAsiaTheme="minorEastAsia"/>
          <w:bCs/>
          <w:szCs w:val="24"/>
        </w:rPr>
        <w:t>3、份样量</w:t>
      </w:r>
      <w:r>
        <w:rPr>
          <w:rFonts w:hint="eastAsia" w:asciiTheme="minorEastAsia" w:hAnsiTheme="minorEastAsia" w:eastAsiaTheme="minorEastAsia"/>
          <w:bCs/>
          <w:szCs w:val="24"/>
          <w:lang w:eastAsia="zh-CN"/>
        </w:rPr>
        <w:t>:</w:t>
      </w:r>
    </w:p>
    <w:p w14:paraId="0430EF0C">
      <w:pPr>
        <w:pStyle w:val="257"/>
        <w:ind w:firstLineChars="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根据《危险废物鉴别技术规范》(HJ/T298-</w:t>
      </w:r>
      <w:r>
        <w:rPr>
          <w:rFonts w:hint="eastAsia" w:cs="Times New Roman" w:asciiTheme="minorEastAsia" w:hAnsiTheme="minorEastAsia" w:eastAsiaTheme="minorEastAsia"/>
          <w:color w:val="auto"/>
          <w:szCs w:val="24"/>
          <w:lang w:eastAsia="zh-CN"/>
        </w:rPr>
        <w:t>2019</w:t>
      </w:r>
      <w:r>
        <w:rPr>
          <w:rFonts w:cs="Times New Roman" w:asciiTheme="minorEastAsia" w:hAnsiTheme="minorEastAsia" w:eastAsiaTheme="minorEastAsia"/>
          <w:color w:val="auto"/>
          <w:szCs w:val="24"/>
        </w:rPr>
        <w:t>)，固体废物样品采集的份样量应同时满足下列要求：</w:t>
      </w:r>
    </w:p>
    <w:p w14:paraId="5467DDFD">
      <w:pPr>
        <w:pStyle w:val="257"/>
        <w:ind w:firstLine="412" w:firstLineChars="172"/>
        <w:rPr>
          <w:rFonts w:hint="eastAsia" w:cs="Times New Roman" w:asciiTheme="minorEastAsia" w:hAnsiTheme="minorEastAsia" w:eastAsiaTheme="minorEastAsia"/>
          <w:color w:val="auto"/>
          <w:szCs w:val="24"/>
          <w:lang w:eastAsia="zh-CN"/>
        </w:rPr>
      </w:pPr>
      <w:r>
        <w:rPr>
          <w:rFonts w:hint="eastAsia" w:eastAsiaTheme="minorEastAsia"/>
          <w:color w:val="auto"/>
          <w:szCs w:val="24"/>
        </w:rPr>
        <w:t>（</w:t>
      </w:r>
      <w:r>
        <w:rPr>
          <w:rFonts w:hint="eastAsia" w:eastAsiaTheme="minorEastAsia"/>
          <w:color w:val="auto"/>
          <w:szCs w:val="24"/>
          <w:lang w:eastAsia="zh-CN"/>
        </w:rPr>
        <w:t>一</w:t>
      </w:r>
      <w:r>
        <w:rPr>
          <w:rFonts w:hint="eastAsia" w:eastAsiaTheme="minorEastAsia"/>
          <w:color w:val="auto"/>
          <w:szCs w:val="24"/>
        </w:rPr>
        <w:t>）</w:t>
      </w:r>
      <w:r>
        <w:rPr>
          <w:rFonts w:cs="Times New Roman" w:asciiTheme="minorEastAsia" w:hAnsiTheme="minorEastAsia" w:eastAsiaTheme="minorEastAsia"/>
          <w:color w:val="auto"/>
          <w:szCs w:val="24"/>
        </w:rPr>
        <w:t>满足分析操作的需要</w:t>
      </w:r>
      <w:r>
        <w:rPr>
          <w:rFonts w:hint="eastAsia" w:cs="Times New Roman" w:asciiTheme="minorEastAsia" w:hAnsiTheme="minorEastAsia" w:eastAsiaTheme="minorEastAsia"/>
          <w:color w:val="auto"/>
          <w:szCs w:val="24"/>
          <w:lang w:eastAsia="zh-CN"/>
        </w:rPr>
        <w:t>。</w:t>
      </w:r>
    </w:p>
    <w:p w14:paraId="32939134">
      <w:pPr>
        <w:pStyle w:val="257"/>
        <w:ind w:firstLine="480"/>
        <w:rPr>
          <w:rFonts w:hint="eastAsia" w:cs="Times New Roman" w:asciiTheme="minorEastAsia" w:hAnsiTheme="minorEastAsia" w:eastAsiaTheme="minorEastAsia"/>
          <w:color w:val="auto"/>
          <w:szCs w:val="24"/>
        </w:rPr>
      </w:pPr>
      <w:r>
        <w:rPr>
          <w:rFonts w:hint="eastAsia" w:eastAsiaTheme="minorEastAsia"/>
          <w:color w:val="auto"/>
          <w:szCs w:val="24"/>
        </w:rPr>
        <w:t>（二）</w:t>
      </w:r>
      <w:r>
        <w:rPr>
          <w:rFonts w:cs="Times New Roman" w:asciiTheme="minorEastAsia" w:hAnsiTheme="minorEastAsia" w:eastAsiaTheme="minorEastAsia"/>
          <w:color w:val="auto"/>
          <w:szCs w:val="24"/>
        </w:rPr>
        <w:t>依据固态废物的原始颗粒最大粒径，不小于表5.4.2中规定的质量。</w:t>
      </w:r>
    </w:p>
    <w:tbl>
      <w:tblPr>
        <w:tblStyle w:val="4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097"/>
        <w:gridCol w:w="2439"/>
        <w:gridCol w:w="2268"/>
      </w:tblGrid>
      <w:tr w14:paraId="217F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547" w:type="dxa"/>
            <w:vAlign w:val="center"/>
          </w:tcPr>
          <w:p w14:paraId="28918842">
            <w:pPr>
              <w:pStyle w:val="257"/>
              <w:ind w:firstLine="0" w:firstLineChars="0"/>
              <w:jc w:val="center"/>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原始颗粒最大粒径（以d表示）/cm</w:t>
            </w:r>
          </w:p>
        </w:tc>
        <w:tc>
          <w:tcPr>
            <w:tcW w:w="2097" w:type="dxa"/>
            <w:vAlign w:val="center"/>
          </w:tcPr>
          <w:p w14:paraId="2BFCB5D8">
            <w:pPr>
              <w:pStyle w:val="257"/>
              <w:ind w:firstLine="240" w:firstLineChars="10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最小份样量/g</w:t>
            </w:r>
          </w:p>
        </w:tc>
        <w:tc>
          <w:tcPr>
            <w:tcW w:w="2439" w:type="dxa"/>
            <w:vAlign w:val="center"/>
          </w:tcPr>
          <w:p w14:paraId="02264F9B">
            <w:pPr>
              <w:pStyle w:val="257"/>
              <w:ind w:firstLine="0" w:firstLineChars="0"/>
              <w:jc w:val="center"/>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原始颗粒最大粒径（以d表示）/cm</w:t>
            </w:r>
          </w:p>
        </w:tc>
        <w:tc>
          <w:tcPr>
            <w:tcW w:w="2268" w:type="dxa"/>
            <w:vAlign w:val="center"/>
          </w:tcPr>
          <w:p w14:paraId="23BF33A3">
            <w:pPr>
              <w:pStyle w:val="257"/>
              <w:ind w:firstLine="0" w:firstLineChars="0"/>
              <w:jc w:val="center"/>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最小份样量/g</w:t>
            </w:r>
          </w:p>
        </w:tc>
      </w:tr>
      <w:tr w14:paraId="77AE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547" w:type="dxa"/>
            <w:vAlign w:val="center"/>
          </w:tcPr>
          <w:p w14:paraId="6E02969B">
            <w:pPr>
              <w:pStyle w:val="257"/>
              <w:ind w:firstLine="48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d≤0.50</w:t>
            </w:r>
          </w:p>
        </w:tc>
        <w:tc>
          <w:tcPr>
            <w:tcW w:w="2097" w:type="dxa"/>
            <w:vAlign w:val="center"/>
          </w:tcPr>
          <w:p w14:paraId="1EC1A81D">
            <w:pPr>
              <w:pStyle w:val="257"/>
              <w:ind w:firstLine="48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500</w:t>
            </w:r>
          </w:p>
        </w:tc>
        <w:tc>
          <w:tcPr>
            <w:tcW w:w="2439" w:type="dxa"/>
            <w:vAlign w:val="center"/>
          </w:tcPr>
          <w:p w14:paraId="2940274F">
            <w:pPr>
              <w:pStyle w:val="257"/>
              <w:ind w:firstLine="48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d＞1.0</w:t>
            </w:r>
          </w:p>
        </w:tc>
        <w:tc>
          <w:tcPr>
            <w:tcW w:w="2268" w:type="dxa"/>
            <w:vAlign w:val="center"/>
          </w:tcPr>
          <w:p w14:paraId="7FDC54DD">
            <w:pPr>
              <w:pStyle w:val="257"/>
              <w:ind w:firstLine="0" w:firstLineChars="0"/>
              <w:jc w:val="center"/>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2000</w:t>
            </w:r>
          </w:p>
        </w:tc>
      </w:tr>
      <w:tr w14:paraId="2068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547" w:type="dxa"/>
            <w:vAlign w:val="center"/>
          </w:tcPr>
          <w:p w14:paraId="69C50D88">
            <w:pPr>
              <w:pStyle w:val="257"/>
              <w:ind w:firstLine="48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0.50＜d≤1.0</w:t>
            </w:r>
          </w:p>
        </w:tc>
        <w:tc>
          <w:tcPr>
            <w:tcW w:w="2097" w:type="dxa"/>
            <w:vAlign w:val="center"/>
          </w:tcPr>
          <w:p w14:paraId="5FD92104">
            <w:pPr>
              <w:pStyle w:val="257"/>
              <w:ind w:firstLine="480"/>
              <w:rPr>
                <w:rFonts w:hint="eastAsia" w:cs="Times New Roman" w:asciiTheme="minorEastAsia" w:hAnsiTheme="minorEastAsia" w:eastAsiaTheme="minorEastAsia"/>
                <w:color w:val="auto"/>
                <w:szCs w:val="24"/>
              </w:rPr>
            </w:pPr>
            <w:r>
              <w:rPr>
                <w:rFonts w:cs="Times New Roman" w:asciiTheme="minorEastAsia" w:hAnsiTheme="minorEastAsia" w:eastAsiaTheme="minorEastAsia"/>
                <w:color w:val="auto"/>
                <w:szCs w:val="24"/>
              </w:rPr>
              <w:t>1000</w:t>
            </w:r>
          </w:p>
        </w:tc>
        <w:tc>
          <w:tcPr>
            <w:tcW w:w="2439" w:type="dxa"/>
            <w:vAlign w:val="center"/>
          </w:tcPr>
          <w:p w14:paraId="42725718">
            <w:pPr>
              <w:pStyle w:val="257"/>
              <w:ind w:firstLine="480"/>
              <w:rPr>
                <w:rFonts w:hint="eastAsia" w:cs="Times New Roman" w:asciiTheme="minorEastAsia" w:hAnsiTheme="minorEastAsia" w:eastAsiaTheme="minorEastAsia"/>
                <w:color w:val="auto"/>
                <w:szCs w:val="24"/>
              </w:rPr>
            </w:pPr>
          </w:p>
        </w:tc>
        <w:tc>
          <w:tcPr>
            <w:tcW w:w="2268" w:type="dxa"/>
            <w:vAlign w:val="center"/>
          </w:tcPr>
          <w:p w14:paraId="0E3AC278">
            <w:pPr>
              <w:pStyle w:val="257"/>
              <w:ind w:firstLine="480"/>
              <w:jc w:val="center"/>
              <w:rPr>
                <w:rFonts w:hint="eastAsia" w:cs="Times New Roman" w:asciiTheme="minorEastAsia" w:hAnsiTheme="minorEastAsia" w:eastAsiaTheme="minorEastAsia"/>
                <w:color w:val="auto"/>
                <w:szCs w:val="24"/>
              </w:rPr>
            </w:pPr>
          </w:p>
        </w:tc>
      </w:tr>
    </w:tbl>
    <w:p w14:paraId="53868338">
      <w:pPr>
        <w:pStyle w:val="257"/>
        <w:ind w:firstLine="0" w:firstLineChars="0"/>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本项目</w:t>
      </w:r>
      <w:r>
        <w:rPr>
          <w:rFonts w:hint="eastAsia" w:cs="Times New Roman" w:asciiTheme="minorEastAsia" w:hAnsiTheme="minorEastAsia" w:eastAsiaTheme="minorEastAsia"/>
          <w:color w:val="auto"/>
          <w:lang w:eastAsia="zh-CN"/>
        </w:rPr>
        <w:t>污泥及</w:t>
      </w:r>
      <w:r>
        <w:rPr>
          <w:rFonts w:cs="Times New Roman" w:asciiTheme="minorEastAsia" w:hAnsiTheme="minorEastAsia" w:eastAsiaTheme="minorEastAsia"/>
          <w:color w:val="auto"/>
        </w:rPr>
        <w:t>TA废料原始颗粒最大粒径大于1.0cm，因此一个份样所需采取的最小份样量为2000g。</w:t>
      </w:r>
    </w:p>
    <w:p w14:paraId="7C8D5356">
      <w:pPr>
        <w:pStyle w:val="253"/>
        <w:numPr>
          <w:ilvl w:val="0"/>
          <w:numId w:val="10"/>
        </w:numPr>
        <w:ind w:firstLineChars="0"/>
        <w:rPr>
          <w:rFonts w:hint="eastAsia" w:asciiTheme="minorEastAsia" w:hAnsiTheme="minorEastAsia"/>
          <w:b/>
          <w:sz w:val="28"/>
          <w:szCs w:val="28"/>
        </w:rPr>
      </w:pPr>
      <w:r>
        <w:rPr>
          <w:rFonts w:asciiTheme="minorEastAsia" w:hAnsiTheme="minorEastAsia"/>
          <w:b/>
          <w:sz w:val="28"/>
          <w:szCs w:val="28"/>
        </w:rPr>
        <w:t>质控措施</w:t>
      </w:r>
      <w:r>
        <w:rPr>
          <w:rFonts w:hint="eastAsia" w:asciiTheme="minorEastAsia" w:hAnsiTheme="minorEastAsia"/>
          <w:b/>
          <w:sz w:val="28"/>
          <w:szCs w:val="28"/>
        </w:rPr>
        <w:t>：</w:t>
      </w:r>
    </w:p>
    <w:p w14:paraId="7723EEB7">
      <w:pPr>
        <w:pStyle w:val="257"/>
        <w:ind w:firstLine="480"/>
        <w:rPr>
          <w:rFonts w:hint="eastAsia" w:asciiTheme="majorEastAsia" w:hAnsiTheme="majorEastAsia" w:eastAsiaTheme="majorEastAsia"/>
          <w:color w:val="auto"/>
        </w:rPr>
      </w:pPr>
      <w:r>
        <w:rPr>
          <w:rFonts w:asciiTheme="majorEastAsia" w:hAnsiTheme="majorEastAsia" w:eastAsiaTheme="majorEastAsia"/>
          <w:color w:val="auto"/>
        </w:rPr>
        <w:t>采样检测单位依据国家《危险废物鉴别技术规范》（HJ/T298-</w:t>
      </w:r>
      <w:r>
        <w:rPr>
          <w:rFonts w:hint="eastAsia" w:asciiTheme="majorEastAsia" w:hAnsiTheme="majorEastAsia" w:eastAsiaTheme="majorEastAsia"/>
          <w:color w:val="auto"/>
          <w:lang w:eastAsia="zh-CN"/>
        </w:rPr>
        <w:t>2019</w:t>
      </w:r>
      <w:r>
        <w:rPr>
          <w:rFonts w:asciiTheme="majorEastAsia" w:hAnsiTheme="majorEastAsia" w:eastAsiaTheme="majorEastAsia"/>
          <w:color w:val="auto"/>
        </w:rPr>
        <w:t>）和《工业固体废物采样制样技术规范》（HJ/T20-1998）等标准及技术规范，对本项目生化污泥组织开展采样及检测。所测项目分析仪器均经过有资质的单位定期检定/校准并在合格有效期内。检测人员均经过考核并持有监测上岗证，样品测定按相关规定带平行样及质控密码样。</w:t>
      </w:r>
    </w:p>
    <w:p w14:paraId="473C2768">
      <w:pPr>
        <w:pStyle w:val="257"/>
        <w:numPr>
          <w:ilvl w:val="0"/>
          <w:numId w:val="10"/>
        </w:numPr>
        <w:ind w:firstLineChars="0"/>
        <w:rPr>
          <w:rFonts w:hint="eastAsia" w:asciiTheme="minorEastAsia" w:hAnsiTheme="minorEastAsia"/>
          <w:b/>
          <w:sz w:val="28"/>
          <w:szCs w:val="28"/>
          <w:lang w:eastAsia="zh-CN"/>
        </w:rPr>
      </w:pPr>
      <w:r>
        <w:rPr>
          <w:rFonts w:hint="eastAsia" w:asciiTheme="minorEastAsia" w:hAnsiTheme="minorEastAsia"/>
          <w:b/>
          <w:sz w:val="28"/>
          <w:szCs w:val="28"/>
        </w:rPr>
        <w:t>技术规范标准</w:t>
      </w:r>
      <w:r>
        <w:rPr>
          <w:rFonts w:hint="eastAsia" w:asciiTheme="minorEastAsia" w:hAnsiTheme="minorEastAsia"/>
          <w:b/>
          <w:sz w:val="28"/>
          <w:szCs w:val="28"/>
          <w:lang w:eastAsia="zh-CN"/>
        </w:rPr>
        <w:t>：</w:t>
      </w:r>
    </w:p>
    <w:p w14:paraId="7B01B612">
      <w:pPr>
        <w:pStyle w:val="257"/>
        <w:ind w:left="135" w:firstLine="240" w:firstLineChars="100"/>
        <w:rPr>
          <w:color w:val="auto"/>
        </w:rPr>
      </w:pPr>
      <w:r>
        <w:rPr>
          <w:color w:val="auto"/>
        </w:rPr>
        <w:t>上述技术规范要求</w:t>
      </w:r>
      <w:r>
        <w:rPr>
          <w:rFonts w:hint="eastAsia"/>
          <w:color w:val="auto"/>
        </w:rPr>
        <w:t>，如有冲突，以</w:t>
      </w:r>
      <w:r>
        <w:rPr>
          <w:color w:val="auto"/>
        </w:rPr>
        <w:t>最新发布的为准</w:t>
      </w:r>
      <w:r>
        <w:rPr>
          <w:rFonts w:hint="eastAsia"/>
          <w:color w:val="auto"/>
        </w:rPr>
        <w:t>。</w:t>
      </w:r>
    </w:p>
    <w:p w14:paraId="0AF6A53C">
      <w:pPr>
        <w:pStyle w:val="253"/>
        <w:numPr>
          <w:ilvl w:val="0"/>
          <w:numId w:val="10"/>
        </w:numPr>
        <w:ind w:firstLineChars="0"/>
        <w:rPr>
          <w:rFonts w:hint="eastAsia" w:eastAsia="宋体" w:cs="宋体" w:asciiTheme="minorEastAsia" w:hAnsiTheme="minorEastAsia"/>
          <w:b/>
          <w:color w:val="000000"/>
          <w:kern w:val="0"/>
          <w:sz w:val="28"/>
          <w:szCs w:val="28"/>
          <w:lang w:val="zh-CN" w:eastAsia="zh-CN"/>
        </w:rPr>
      </w:pPr>
      <w:r>
        <w:rPr>
          <w:rFonts w:hint="eastAsia" w:eastAsia="宋体" w:cs="宋体" w:asciiTheme="minorEastAsia" w:hAnsiTheme="minorEastAsia"/>
          <w:b/>
          <w:color w:val="000000"/>
          <w:kern w:val="0"/>
          <w:sz w:val="28"/>
          <w:szCs w:val="28"/>
          <w:lang w:val="zh-CN" w:eastAsia="zh-CN"/>
        </w:rPr>
        <w:t>跟踪监测报告</w:t>
      </w:r>
      <w:r>
        <w:rPr>
          <w:rFonts w:hint="eastAsia" w:eastAsia="宋体" w:cs="宋体" w:asciiTheme="minorEastAsia" w:hAnsiTheme="minorEastAsia"/>
          <w:b/>
          <w:color w:val="000000"/>
          <w:kern w:val="0"/>
          <w:sz w:val="28"/>
          <w:szCs w:val="28"/>
          <w:lang w:val="zh-CN"/>
        </w:rPr>
        <w:t>：</w:t>
      </w:r>
    </w:p>
    <w:p w14:paraId="618ED307">
      <w:pPr>
        <w:pStyle w:val="257"/>
        <w:ind w:firstLine="480"/>
        <w:rPr>
          <w:color w:val="auto"/>
        </w:rPr>
      </w:pPr>
      <w:r>
        <w:rPr>
          <w:color w:val="auto"/>
        </w:rPr>
        <w:t>跟踪监测报告书</w:t>
      </w:r>
      <w:r>
        <w:rPr>
          <w:rFonts w:hint="eastAsia"/>
          <w:color w:val="auto"/>
        </w:rPr>
        <w:t>，</w:t>
      </w:r>
      <w:r>
        <w:rPr>
          <w:color w:val="auto"/>
        </w:rPr>
        <w:t>要求包含监测结果的总体评价结论</w:t>
      </w:r>
      <w:r>
        <w:rPr>
          <w:rFonts w:hint="eastAsia"/>
          <w:color w:val="auto"/>
        </w:rPr>
        <w:t>+</w:t>
      </w:r>
      <w:r>
        <w:rPr>
          <w:color w:val="auto"/>
        </w:rPr>
        <w:t>检测报告的形式</w:t>
      </w:r>
      <w:r>
        <w:rPr>
          <w:rFonts w:hint="eastAsia"/>
          <w:color w:val="auto"/>
        </w:rPr>
        <w:t>。</w:t>
      </w:r>
    </w:p>
    <w:p w14:paraId="36A1FB2A">
      <w:pPr>
        <w:pStyle w:val="77"/>
        <w:spacing w:line="360" w:lineRule="auto"/>
        <w:jc w:val="both"/>
        <w:rPr>
          <w:rFonts w:hint="eastAsia" w:asciiTheme="minorEastAsia" w:hAnsiTheme="minorEastAsia" w:eastAsiaTheme="minorEastAsia" w:cstheme="minorBidi"/>
          <w:color w:val="auto"/>
          <w:kern w:val="2"/>
          <w:sz w:val="28"/>
          <w:szCs w:val="28"/>
          <w:lang w:val="zh-CN"/>
        </w:rPr>
      </w:pPr>
    </w:p>
    <w:p w14:paraId="1258B32A">
      <w:pPr>
        <w:pStyle w:val="77"/>
        <w:spacing w:line="360" w:lineRule="auto"/>
        <w:jc w:val="both"/>
        <w:rPr>
          <w:rFonts w:asciiTheme="minorHAnsi" w:hAnsiTheme="minorHAnsi"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 xml:space="preserve">                                  福建福海创石油化工有限公司.水气团队</w:t>
      </w:r>
    </w:p>
    <w:p w14:paraId="7F821F8C">
      <w:pPr>
        <w:pStyle w:val="58"/>
      </w:pPr>
    </w:p>
    <w:sectPr>
      <w:footerReference r:id="rId5" w:type="default"/>
      <w:pgSz w:w="11906" w:h="16838"/>
      <w:pgMar w:top="1198" w:right="91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510C">
    <w:pPr>
      <w:pStyle w:val="19"/>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14:paraId="0971FF3F">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3F7">
    <w:pPr>
      <w:pStyle w:val="19"/>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14:paraId="2CB064C0">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A06B">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04D37D7"/>
    <w:multiLevelType w:val="multilevel"/>
    <w:tmpl w:val="304D37D7"/>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ADA0908"/>
    <w:multiLevelType w:val="multilevel"/>
    <w:tmpl w:val="3ADA0908"/>
    <w:lvl w:ilvl="0" w:tentative="0">
      <w:start w:val="3"/>
      <w:numFmt w:val="japaneseCounting"/>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1E76"/>
    <w:multiLevelType w:val="singleLevel"/>
    <w:tmpl w:val="5B7E1E76"/>
    <w:lvl w:ilvl="0" w:tentative="0">
      <w:start w:val="3"/>
      <w:numFmt w:val="decimal"/>
      <w:suff w:val="space"/>
      <w:lvlText w:val="%1."/>
      <w:lvlJc w:val="left"/>
    </w:lvl>
  </w:abstractNum>
  <w:abstractNum w:abstractNumId="9">
    <w:nsid w:val="5DA30494"/>
    <w:multiLevelType w:val="multilevel"/>
    <w:tmpl w:val="5DA3049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2E9E60D"/>
    <w:multiLevelType w:val="singleLevel"/>
    <w:tmpl w:val="62E9E60D"/>
    <w:lvl w:ilvl="0" w:tentative="0">
      <w:start w:val="1"/>
      <w:numFmt w:val="chineseCounting"/>
      <w:suff w:val="nothing"/>
      <w:lvlText w:val="%1、"/>
      <w:lvlJc w:val="left"/>
    </w:lvl>
  </w:abstractNum>
  <w:num w:numId="1">
    <w:abstractNumId w:val="7"/>
  </w:num>
  <w:num w:numId="2">
    <w:abstractNumId w:val="1"/>
  </w:num>
  <w:num w:numId="3">
    <w:abstractNumId w:val="2"/>
  </w:num>
  <w:num w:numId="4">
    <w:abstractNumId w:val="3"/>
  </w:num>
  <w:num w:numId="5">
    <w:abstractNumId w:val="5"/>
  </w:num>
  <w:num w:numId="6">
    <w:abstractNumId w:val="8"/>
  </w:num>
  <w:num w:numId="7">
    <w:abstractNumId w:val="0"/>
  </w:num>
  <w:num w:numId="8">
    <w:abstractNumId w:val="1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065C2"/>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3649"/>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44E9A"/>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6B19"/>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4CE0"/>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2BAE"/>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111C"/>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907CF"/>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5D50A6"/>
    <w:rsid w:val="0367315B"/>
    <w:rsid w:val="03AC2208"/>
    <w:rsid w:val="03FC0ED3"/>
    <w:rsid w:val="049428BB"/>
    <w:rsid w:val="054002CE"/>
    <w:rsid w:val="060C619A"/>
    <w:rsid w:val="061139E5"/>
    <w:rsid w:val="06F50B00"/>
    <w:rsid w:val="076E1278"/>
    <w:rsid w:val="0776366A"/>
    <w:rsid w:val="07F12E2A"/>
    <w:rsid w:val="08D1141D"/>
    <w:rsid w:val="08DB0BA8"/>
    <w:rsid w:val="09114AE3"/>
    <w:rsid w:val="09C13F1E"/>
    <w:rsid w:val="0B296DE2"/>
    <w:rsid w:val="0BDC6875"/>
    <w:rsid w:val="0C4D6E47"/>
    <w:rsid w:val="0CD75DDF"/>
    <w:rsid w:val="0E0D7F6B"/>
    <w:rsid w:val="0E2505CD"/>
    <w:rsid w:val="0E4068AB"/>
    <w:rsid w:val="0E5F2B77"/>
    <w:rsid w:val="0E6154FA"/>
    <w:rsid w:val="0ECC0803"/>
    <w:rsid w:val="0EDD6CF0"/>
    <w:rsid w:val="0FB83347"/>
    <w:rsid w:val="0FCD10EE"/>
    <w:rsid w:val="10294AA3"/>
    <w:rsid w:val="10E40CA0"/>
    <w:rsid w:val="136130D9"/>
    <w:rsid w:val="13986DBC"/>
    <w:rsid w:val="13E5437F"/>
    <w:rsid w:val="14385447"/>
    <w:rsid w:val="164D19B5"/>
    <w:rsid w:val="1652774F"/>
    <w:rsid w:val="17691C63"/>
    <w:rsid w:val="17EA37D6"/>
    <w:rsid w:val="18796374"/>
    <w:rsid w:val="18DD4F7E"/>
    <w:rsid w:val="195B58A2"/>
    <w:rsid w:val="1A884225"/>
    <w:rsid w:val="1A9C249F"/>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621E3B"/>
    <w:rsid w:val="21933AA2"/>
    <w:rsid w:val="22233DFB"/>
    <w:rsid w:val="22E07C1C"/>
    <w:rsid w:val="231F4B46"/>
    <w:rsid w:val="2471353F"/>
    <w:rsid w:val="24CB4AA9"/>
    <w:rsid w:val="24DF1F9D"/>
    <w:rsid w:val="25BF356F"/>
    <w:rsid w:val="25DB0C2D"/>
    <w:rsid w:val="264B3234"/>
    <w:rsid w:val="269469E7"/>
    <w:rsid w:val="27086DAF"/>
    <w:rsid w:val="28277887"/>
    <w:rsid w:val="282A5C72"/>
    <w:rsid w:val="289C2193"/>
    <w:rsid w:val="29FC3B14"/>
    <w:rsid w:val="2B1012B4"/>
    <w:rsid w:val="2B11792E"/>
    <w:rsid w:val="2CFD6B7D"/>
    <w:rsid w:val="2E7B26B3"/>
    <w:rsid w:val="2E850506"/>
    <w:rsid w:val="2EED603F"/>
    <w:rsid w:val="2F1F04AE"/>
    <w:rsid w:val="2F7360B6"/>
    <w:rsid w:val="2FBE0961"/>
    <w:rsid w:val="2FF879D1"/>
    <w:rsid w:val="304B3CEC"/>
    <w:rsid w:val="30BC10CE"/>
    <w:rsid w:val="312637DA"/>
    <w:rsid w:val="319643A2"/>
    <w:rsid w:val="319B3869"/>
    <w:rsid w:val="31C54755"/>
    <w:rsid w:val="3216608C"/>
    <w:rsid w:val="32202D37"/>
    <w:rsid w:val="32427997"/>
    <w:rsid w:val="32675B84"/>
    <w:rsid w:val="327B26AF"/>
    <w:rsid w:val="32807B4D"/>
    <w:rsid w:val="34CE14C6"/>
    <w:rsid w:val="34D84CEC"/>
    <w:rsid w:val="37356611"/>
    <w:rsid w:val="37A70A29"/>
    <w:rsid w:val="37AF5AB7"/>
    <w:rsid w:val="383B1CD1"/>
    <w:rsid w:val="38A70432"/>
    <w:rsid w:val="39357DBD"/>
    <w:rsid w:val="3B1C3371"/>
    <w:rsid w:val="3BFB41F3"/>
    <w:rsid w:val="3C4B6065"/>
    <w:rsid w:val="3CA2715D"/>
    <w:rsid w:val="3CC23198"/>
    <w:rsid w:val="3CD470C8"/>
    <w:rsid w:val="3D7342BE"/>
    <w:rsid w:val="3DDF4815"/>
    <w:rsid w:val="3FAB16C9"/>
    <w:rsid w:val="3FE669E5"/>
    <w:rsid w:val="41B704D4"/>
    <w:rsid w:val="41C71E41"/>
    <w:rsid w:val="41EA2AAD"/>
    <w:rsid w:val="434D2986"/>
    <w:rsid w:val="44816FD3"/>
    <w:rsid w:val="44AB6177"/>
    <w:rsid w:val="45694E50"/>
    <w:rsid w:val="46290CD2"/>
    <w:rsid w:val="466A240E"/>
    <w:rsid w:val="46786F4F"/>
    <w:rsid w:val="475C5076"/>
    <w:rsid w:val="475E0A51"/>
    <w:rsid w:val="47D31F24"/>
    <w:rsid w:val="4C6D0E78"/>
    <w:rsid w:val="4F107C42"/>
    <w:rsid w:val="506B7DE6"/>
    <w:rsid w:val="50E214FC"/>
    <w:rsid w:val="50F63E28"/>
    <w:rsid w:val="51E80BD1"/>
    <w:rsid w:val="5221007F"/>
    <w:rsid w:val="526E1F34"/>
    <w:rsid w:val="52926B5A"/>
    <w:rsid w:val="52E129FA"/>
    <w:rsid w:val="54431D94"/>
    <w:rsid w:val="545C5E51"/>
    <w:rsid w:val="5486175B"/>
    <w:rsid w:val="56341428"/>
    <w:rsid w:val="57667D24"/>
    <w:rsid w:val="57CE5BC3"/>
    <w:rsid w:val="58164413"/>
    <w:rsid w:val="585D763C"/>
    <w:rsid w:val="58D10988"/>
    <w:rsid w:val="593D2B4E"/>
    <w:rsid w:val="5AE1516A"/>
    <w:rsid w:val="5B6A3A79"/>
    <w:rsid w:val="5B7C50AB"/>
    <w:rsid w:val="5BBE7DCA"/>
    <w:rsid w:val="5C1A5F7B"/>
    <w:rsid w:val="61315BEF"/>
    <w:rsid w:val="623E36E1"/>
    <w:rsid w:val="63945B4E"/>
    <w:rsid w:val="645771F8"/>
    <w:rsid w:val="64770716"/>
    <w:rsid w:val="64B0156D"/>
    <w:rsid w:val="64C97ABB"/>
    <w:rsid w:val="64FD4F7E"/>
    <w:rsid w:val="65034A49"/>
    <w:rsid w:val="65C606B8"/>
    <w:rsid w:val="666A7101"/>
    <w:rsid w:val="66EF2EB3"/>
    <w:rsid w:val="67302A7F"/>
    <w:rsid w:val="6A54112D"/>
    <w:rsid w:val="6AA035AE"/>
    <w:rsid w:val="6B7344E6"/>
    <w:rsid w:val="6BCC39D5"/>
    <w:rsid w:val="6C751931"/>
    <w:rsid w:val="6CD61942"/>
    <w:rsid w:val="6D432CA7"/>
    <w:rsid w:val="6E0F2E14"/>
    <w:rsid w:val="6E4F186F"/>
    <w:rsid w:val="6E8E00E1"/>
    <w:rsid w:val="6F14410F"/>
    <w:rsid w:val="6F1E141D"/>
    <w:rsid w:val="6F5354F8"/>
    <w:rsid w:val="6F724007"/>
    <w:rsid w:val="70223D7A"/>
    <w:rsid w:val="70347549"/>
    <w:rsid w:val="705A02D6"/>
    <w:rsid w:val="70D42570"/>
    <w:rsid w:val="7182273C"/>
    <w:rsid w:val="7277763E"/>
    <w:rsid w:val="734F0FD2"/>
    <w:rsid w:val="73C7607E"/>
    <w:rsid w:val="73E31679"/>
    <w:rsid w:val="740A2BDE"/>
    <w:rsid w:val="746165A0"/>
    <w:rsid w:val="74ED6F82"/>
    <w:rsid w:val="751839E0"/>
    <w:rsid w:val="759040EF"/>
    <w:rsid w:val="76274F93"/>
    <w:rsid w:val="77172300"/>
    <w:rsid w:val="7772065D"/>
    <w:rsid w:val="77982409"/>
    <w:rsid w:val="77B140C1"/>
    <w:rsid w:val="78A80E8F"/>
    <w:rsid w:val="79EB3F2F"/>
    <w:rsid w:val="7AAB185F"/>
    <w:rsid w:val="7B11789E"/>
    <w:rsid w:val="7D815303"/>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9"/>
    <w:qFormat/>
    <w:uiPriority w:val="0"/>
    <w:pPr>
      <w:ind w:left="538"/>
      <w:outlineLvl w:val="0"/>
    </w:pPr>
    <w:rPr>
      <w:b/>
      <w:bCs/>
      <w:sz w:val="28"/>
      <w:szCs w:val="28"/>
    </w:rPr>
  </w:style>
  <w:style w:type="paragraph" w:styleId="3">
    <w:name w:val="heading 2"/>
    <w:basedOn w:val="1"/>
    <w:next w:val="1"/>
    <w:link w:val="60"/>
    <w:qFormat/>
    <w:uiPriority w:val="0"/>
    <w:pPr>
      <w:ind w:left="629"/>
      <w:outlineLvl w:val="1"/>
    </w:pPr>
    <w:rPr>
      <w:b/>
      <w:bCs/>
      <w:sz w:val="24"/>
      <w:szCs w:val="24"/>
    </w:rPr>
  </w:style>
  <w:style w:type="paragraph" w:styleId="4">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3"/>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8"/>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65"/>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8"/>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5"/>
    <w:autoRedefine/>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4"/>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9"/>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9"/>
    <w:autoRedefine/>
    <w:qFormat/>
    <w:uiPriority w:val="1"/>
    <w:rPr>
      <w:sz w:val="24"/>
      <w:szCs w:val="24"/>
    </w:rPr>
  </w:style>
  <w:style w:type="paragraph" w:styleId="20">
    <w:name w:val="Body Text Indent"/>
    <w:basedOn w:val="1"/>
    <w:link w:val="93"/>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0"/>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9"/>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8"/>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6"/>
    <w:autoRedefine/>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1"/>
    <w:autoRedefine/>
    <w:qFormat/>
    <w:uiPriority w:val="0"/>
    <w:pPr>
      <w:tabs>
        <w:tab w:val="center" w:pos="4153"/>
        <w:tab w:val="right" w:pos="8306"/>
      </w:tabs>
      <w:snapToGrid w:val="0"/>
    </w:pPr>
    <w:rPr>
      <w:sz w:val="18"/>
      <w:szCs w:val="18"/>
    </w:rPr>
  </w:style>
  <w:style w:type="paragraph" w:styleId="30">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7"/>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6"/>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92"/>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102"/>
    <w:autoRedefine/>
    <w:qFormat/>
    <w:uiPriority w:val="0"/>
    <w:pPr>
      <w:widowControl/>
    </w:pPr>
    <w:rPr>
      <w:b/>
      <w:bCs/>
      <w:sz w:val="24"/>
      <w:szCs w:val="24"/>
    </w:rPr>
  </w:style>
  <w:style w:type="paragraph" w:styleId="44">
    <w:name w:val="Body Text First Indent"/>
    <w:basedOn w:val="19"/>
    <w:link w:val="101"/>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basedOn w:val="47"/>
    <w:autoRedefine/>
    <w:qFormat/>
    <w:uiPriority w:val="0"/>
  </w:style>
  <w:style w:type="character" w:styleId="52">
    <w:name w:val="HTML Definition"/>
    <w:basedOn w:val="47"/>
    <w:autoRedefine/>
    <w:unhideWhenUsed/>
    <w:qFormat/>
    <w:uiPriority w:val="0"/>
  </w:style>
  <w:style w:type="character" w:styleId="53">
    <w:name w:val="HTML Variable"/>
    <w:basedOn w:val="47"/>
    <w:autoRedefine/>
    <w:unhideWhenUsed/>
    <w:qFormat/>
    <w:uiPriority w:val="0"/>
  </w:style>
  <w:style w:type="character" w:styleId="54">
    <w:name w:val="Hyperlink"/>
    <w:basedOn w:val="47"/>
    <w:autoRedefine/>
    <w:qFormat/>
    <w:uiPriority w:val="0"/>
    <w:rPr>
      <w:color w:val="0000FF" w:themeColor="hyperlink"/>
      <w:u w:val="single"/>
    </w:rPr>
  </w:style>
  <w:style w:type="character" w:styleId="55">
    <w:name w:val="HTML Code"/>
    <w:basedOn w:val="47"/>
    <w:autoRedefine/>
    <w:unhideWhenUsed/>
    <w:qFormat/>
    <w:uiPriority w:val="0"/>
    <w:rPr>
      <w:rFonts w:ascii="Courier New" w:hAnsi="Courier New"/>
      <w:sz w:val="20"/>
    </w:rPr>
  </w:style>
  <w:style w:type="character" w:styleId="56">
    <w:name w:val="annotation reference"/>
    <w:basedOn w:val="47"/>
    <w:autoRedefine/>
    <w:qFormat/>
    <w:uiPriority w:val="0"/>
    <w:rPr>
      <w:sz w:val="21"/>
      <w:szCs w:val="21"/>
    </w:rPr>
  </w:style>
  <w:style w:type="character" w:styleId="57">
    <w:name w:val="HTML Cite"/>
    <w:basedOn w:val="47"/>
    <w:autoRedefine/>
    <w:unhideWhenUsed/>
    <w:qFormat/>
    <w:uiPriority w:val="0"/>
  </w:style>
  <w:style w:type="paragraph" w:customStyle="1" w:styleId="58">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9">
    <w:name w:val="标题 1 Char"/>
    <w:basedOn w:val="47"/>
    <w:link w:val="2"/>
    <w:autoRedefine/>
    <w:qFormat/>
    <w:uiPriority w:val="0"/>
    <w:rPr>
      <w:rFonts w:ascii="宋体" w:hAnsi="宋体" w:cs="宋体"/>
      <w:b/>
      <w:bCs/>
      <w:sz w:val="28"/>
      <w:szCs w:val="28"/>
      <w:lang w:eastAsia="en-US"/>
    </w:rPr>
  </w:style>
  <w:style w:type="character" w:customStyle="1" w:styleId="60">
    <w:name w:val="标题 2 Char"/>
    <w:basedOn w:val="47"/>
    <w:link w:val="3"/>
    <w:autoRedefine/>
    <w:qFormat/>
    <w:uiPriority w:val="0"/>
    <w:rPr>
      <w:rFonts w:ascii="宋体" w:hAnsi="宋体" w:cs="宋体"/>
      <w:b/>
      <w:bCs/>
      <w:sz w:val="24"/>
      <w:szCs w:val="24"/>
      <w:lang w:eastAsia="en-US"/>
    </w:rPr>
  </w:style>
  <w:style w:type="character" w:customStyle="1" w:styleId="61">
    <w:name w:val="标题 3 Char"/>
    <w:basedOn w:val="47"/>
    <w:link w:val="4"/>
    <w:autoRedefine/>
    <w:qFormat/>
    <w:uiPriority w:val="0"/>
    <w:rPr>
      <w:b/>
      <w:bCs/>
      <w:kern w:val="2"/>
      <w:sz w:val="32"/>
      <w:szCs w:val="32"/>
    </w:rPr>
  </w:style>
  <w:style w:type="character" w:customStyle="1" w:styleId="62">
    <w:name w:val="标题 4 Char"/>
    <w:basedOn w:val="47"/>
    <w:link w:val="5"/>
    <w:autoRedefine/>
    <w:qFormat/>
    <w:uiPriority w:val="0"/>
    <w:rPr>
      <w:b/>
      <w:kern w:val="2"/>
      <w:sz w:val="24"/>
      <w:szCs w:val="24"/>
    </w:rPr>
  </w:style>
  <w:style w:type="character" w:customStyle="1" w:styleId="63">
    <w:name w:val="标题 5 Char"/>
    <w:basedOn w:val="47"/>
    <w:link w:val="6"/>
    <w:autoRedefine/>
    <w:qFormat/>
    <w:uiPriority w:val="0"/>
    <w:rPr>
      <w:b/>
      <w:bCs/>
      <w:kern w:val="2"/>
      <w:sz w:val="28"/>
      <w:szCs w:val="28"/>
    </w:rPr>
  </w:style>
  <w:style w:type="character" w:customStyle="1" w:styleId="64">
    <w:name w:val="标题 6 Char"/>
    <w:basedOn w:val="47"/>
    <w:link w:val="7"/>
    <w:autoRedefine/>
    <w:qFormat/>
    <w:uiPriority w:val="0"/>
    <w:rPr>
      <w:b/>
      <w:sz w:val="24"/>
    </w:rPr>
  </w:style>
  <w:style w:type="character" w:customStyle="1" w:styleId="65">
    <w:name w:val="正文缩进 Char"/>
    <w:basedOn w:val="47"/>
    <w:link w:val="9"/>
    <w:autoRedefine/>
    <w:qFormat/>
    <w:uiPriority w:val="0"/>
    <w:rPr>
      <w:sz w:val="24"/>
    </w:rPr>
  </w:style>
  <w:style w:type="character" w:customStyle="1" w:styleId="66">
    <w:name w:val="标题 7 Char"/>
    <w:basedOn w:val="47"/>
    <w:link w:val="8"/>
    <w:autoRedefine/>
    <w:qFormat/>
    <w:uiPriority w:val="0"/>
    <w:rPr>
      <w:b/>
      <w:kern w:val="2"/>
      <w:sz w:val="24"/>
    </w:rPr>
  </w:style>
  <w:style w:type="character" w:customStyle="1" w:styleId="67">
    <w:name w:val="标题 8 Char"/>
    <w:basedOn w:val="47"/>
    <w:link w:val="10"/>
    <w:autoRedefine/>
    <w:qFormat/>
    <w:uiPriority w:val="0"/>
    <w:rPr>
      <w:rFonts w:ascii="Arial" w:hAnsi="Arial" w:eastAsia="黑体"/>
      <w:kern w:val="2"/>
      <w:sz w:val="24"/>
    </w:rPr>
  </w:style>
  <w:style w:type="character" w:customStyle="1" w:styleId="68">
    <w:name w:val="标题 9 Char"/>
    <w:basedOn w:val="47"/>
    <w:link w:val="11"/>
    <w:autoRedefine/>
    <w:qFormat/>
    <w:uiPriority w:val="0"/>
    <w:rPr>
      <w:rFonts w:ascii="Arial" w:hAnsi="Arial" w:eastAsia="黑体"/>
      <w:kern w:val="2"/>
      <w:sz w:val="21"/>
    </w:rPr>
  </w:style>
  <w:style w:type="character" w:customStyle="1" w:styleId="69">
    <w:name w:val="正文文本 Char1"/>
    <w:basedOn w:val="47"/>
    <w:link w:val="19"/>
    <w:autoRedefine/>
    <w:qFormat/>
    <w:uiPriority w:val="0"/>
    <w:rPr>
      <w:rFonts w:ascii="宋体" w:hAnsi="宋体" w:cs="宋体"/>
      <w:sz w:val="24"/>
      <w:szCs w:val="24"/>
      <w:lang w:eastAsia="en-US"/>
    </w:rPr>
  </w:style>
  <w:style w:type="character" w:customStyle="1" w:styleId="70">
    <w:name w:val="纯文本 Char"/>
    <w:basedOn w:val="47"/>
    <w:link w:val="24"/>
    <w:autoRedefine/>
    <w:qFormat/>
    <w:uiPriority w:val="0"/>
    <w:rPr>
      <w:rFonts w:ascii="宋体" w:hAnsi="Courier New" w:cs="Courier New"/>
      <w:sz w:val="22"/>
      <w:szCs w:val="21"/>
      <w:lang w:eastAsia="en-US"/>
    </w:rPr>
  </w:style>
  <w:style w:type="character" w:customStyle="1" w:styleId="71">
    <w:name w:val="页脚 Char"/>
    <w:basedOn w:val="47"/>
    <w:link w:val="29"/>
    <w:autoRedefine/>
    <w:qFormat/>
    <w:uiPriority w:val="99"/>
    <w:rPr>
      <w:rFonts w:ascii="宋体" w:hAnsi="宋体" w:cs="宋体"/>
      <w:sz w:val="18"/>
      <w:szCs w:val="18"/>
      <w:lang w:eastAsia="en-US"/>
    </w:rPr>
  </w:style>
  <w:style w:type="character" w:customStyle="1" w:styleId="72">
    <w:name w:val="页眉 Char"/>
    <w:basedOn w:val="47"/>
    <w:link w:val="30"/>
    <w:autoRedefine/>
    <w:qFormat/>
    <w:uiPriority w:val="0"/>
    <w:rPr>
      <w:rFonts w:ascii="宋体" w:hAnsi="宋体" w:cs="宋体"/>
      <w:sz w:val="18"/>
      <w:szCs w:val="22"/>
      <w:lang w:eastAsia="en-US"/>
    </w:rPr>
  </w:style>
  <w:style w:type="table" w:customStyle="1" w:styleId="73">
    <w:name w:val="Table Normal"/>
    <w:autoRedefine/>
    <w:unhideWhenUsed/>
    <w:qFormat/>
    <w:uiPriority w:val="2"/>
    <w:tblPr>
      <w:tblCellMar>
        <w:top w:w="0" w:type="dxa"/>
        <w:left w:w="0" w:type="dxa"/>
        <w:bottom w:w="0" w:type="dxa"/>
        <w:right w:w="0" w:type="dxa"/>
      </w:tblCellMar>
    </w:tblPr>
  </w:style>
  <w:style w:type="paragraph" w:customStyle="1" w:styleId="74">
    <w:name w:val="列出段落1"/>
    <w:basedOn w:val="1"/>
    <w:autoRedefine/>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7"/>
    <w:link w:val="18"/>
    <w:autoRedefine/>
    <w:qFormat/>
    <w:uiPriority w:val="0"/>
    <w:rPr>
      <w:b/>
      <w:kern w:val="2"/>
      <w:sz w:val="21"/>
    </w:rPr>
  </w:style>
  <w:style w:type="character" w:customStyle="1" w:styleId="80">
    <w:name w:val="普通(网站) Char"/>
    <w:basedOn w:val="47"/>
    <w:link w:val="40"/>
    <w:autoRedefine/>
    <w:qFormat/>
    <w:locked/>
    <w:uiPriority w:val="0"/>
    <w:rPr>
      <w:rFonts w:ascii="宋体" w:hAnsi="宋体" w:cs="宋体"/>
      <w:sz w:val="24"/>
      <w:szCs w:val="24"/>
    </w:rPr>
  </w:style>
  <w:style w:type="character" w:customStyle="1" w:styleId="81">
    <w:name w:val="xdrichtextbox2"/>
    <w:basedOn w:val="47"/>
    <w:autoRedefine/>
    <w:qFormat/>
    <w:uiPriority w:val="0"/>
    <w:rPr>
      <w:color w:val="0000FF"/>
      <w:sz w:val="18"/>
      <w:szCs w:val="18"/>
      <w:u w:val="none"/>
      <w:bdr w:val="single" w:color="DCDCDC" w:sz="8" w:space="0"/>
      <w:shd w:val="clear" w:color="auto" w:fill="FFFFFF"/>
    </w:rPr>
  </w:style>
  <w:style w:type="character" w:customStyle="1" w:styleId="82">
    <w:name w:val="apple-converted-space"/>
    <w:basedOn w:val="47"/>
    <w:autoRedefine/>
    <w:qFormat/>
    <w:uiPriority w:val="0"/>
  </w:style>
  <w:style w:type="character" w:customStyle="1" w:styleId="83">
    <w:name w:val="无间隔 Char"/>
    <w:basedOn w:val="47"/>
    <w:link w:val="84"/>
    <w:autoRedefine/>
    <w:qFormat/>
    <w:uiPriority w:val="0"/>
    <w:rPr>
      <w:rFonts w:ascii="Calibri" w:hAnsi="Calibri"/>
      <w:sz w:val="22"/>
      <w:szCs w:val="22"/>
    </w:rPr>
  </w:style>
  <w:style w:type="paragraph" w:customStyle="1" w:styleId="84">
    <w:name w:val="无间隔1"/>
    <w:link w:val="83"/>
    <w:autoRedefine/>
    <w:qFormat/>
    <w:uiPriority w:val="0"/>
    <w:rPr>
      <w:rFonts w:ascii="Calibri" w:hAnsi="Calibri" w:eastAsia="宋体" w:cs="Times New Roman"/>
      <w:sz w:val="22"/>
      <w:szCs w:val="22"/>
      <w:lang w:val="en-US" w:eastAsia="zh-CN" w:bidi="ar-SA"/>
    </w:rPr>
  </w:style>
  <w:style w:type="character" w:customStyle="1" w:styleId="85">
    <w:name w:val="批注文字 Char"/>
    <w:basedOn w:val="47"/>
    <w:link w:val="16"/>
    <w:autoRedefine/>
    <w:qFormat/>
    <w:uiPriority w:val="0"/>
    <w:rPr>
      <w:kern w:val="2"/>
      <w:sz w:val="21"/>
    </w:rPr>
  </w:style>
  <w:style w:type="character" w:customStyle="1" w:styleId="86">
    <w:name w:val="批注框文本 Char"/>
    <w:basedOn w:val="47"/>
    <w:link w:val="28"/>
    <w:autoRedefine/>
    <w:qFormat/>
    <w:uiPriority w:val="0"/>
    <w:rPr>
      <w:kern w:val="2"/>
      <w:sz w:val="18"/>
      <w:szCs w:val="18"/>
    </w:rPr>
  </w:style>
  <w:style w:type="character" w:customStyle="1" w:styleId="87">
    <w:name w:val="正文文本缩进 3 Char"/>
    <w:basedOn w:val="47"/>
    <w:link w:val="34"/>
    <w:autoRedefine/>
    <w:qFormat/>
    <w:uiPriority w:val="0"/>
    <w:rPr>
      <w:kern w:val="2"/>
      <w:sz w:val="28"/>
    </w:rPr>
  </w:style>
  <w:style w:type="character" w:customStyle="1" w:styleId="88">
    <w:name w:val="正文文本缩进 2 Char"/>
    <w:basedOn w:val="47"/>
    <w:link w:val="27"/>
    <w:autoRedefine/>
    <w:qFormat/>
    <w:uiPriority w:val="0"/>
    <w:rPr>
      <w:rFonts w:ascii="宋体" w:hAnsi="宋体"/>
      <w:iCs/>
      <w:kern w:val="2"/>
      <w:sz w:val="24"/>
      <w:szCs w:val="24"/>
    </w:rPr>
  </w:style>
  <w:style w:type="character" w:customStyle="1" w:styleId="89">
    <w:name w:val="正文文本 Char"/>
    <w:basedOn w:val="47"/>
    <w:autoRedefine/>
    <w:qFormat/>
    <w:uiPriority w:val="0"/>
    <w:rPr>
      <w:rFonts w:eastAsia="宋体"/>
      <w:sz w:val="24"/>
      <w:szCs w:val="24"/>
      <w:lang w:val="en-US" w:eastAsia="zh-CN" w:bidi="ar-SA"/>
    </w:rPr>
  </w:style>
  <w:style w:type="character" w:customStyle="1" w:styleId="90">
    <w:name w:val="en1"/>
    <w:basedOn w:val="47"/>
    <w:autoRedefine/>
    <w:qFormat/>
    <w:uiPriority w:val="0"/>
    <w:rPr>
      <w:b/>
      <w:bCs/>
      <w:color w:val="154C7F"/>
      <w:sz w:val="24"/>
      <w:szCs w:val="24"/>
    </w:rPr>
  </w:style>
  <w:style w:type="character" w:customStyle="1" w:styleId="91">
    <w:name w:val="font01"/>
    <w:basedOn w:val="47"/>
    <w:autoRedefine/>
    <w:qFormat/>
    <w:uiPriority w:val="0"/>
    <w:rPr>
      <w:rFonts w:hint="eastAsia" w:ascii="宋体" w:hAnsi="宋体" w:eastAsia="宋体" w:cs="宋体"/>
      <w:color w:val="000000"/>
      <w:sz w:val="20"/>
      <w:szCs w:val="20"/>
      <w:u w:val="none"/>
    </w:rPr>
  </w:style>
  <w:style w:type="character" w:customStyle="1" w:styleId="92">
    <w:name w:val="标题 Char"/>
    <w:basedOn w:val="47"/>
    <w:link w:val="42"/>
    <w:autoRedefine/>
    <w:qFormat/>
    <w:uiPriority w:val="0"/>
    <w:rPr>
      <w:rFonts w:ascii="Arial" w:hAnsi="Arial" w:cs="Arial"/>
      <w:b/>
      <w:bCs/>
      <w:sz w:val="44"/>
      <w:szCs w:val="32"/>
    </w:rPr>
  </w:style>
  <w:style w:type="character" w:customStyle="1" w:styleId="93">
    <w:name w:val="正文文本缩进 Char"/>
    <w:basedOn w:val="47"/>
    <w:link w:val="20"/>
    <w:autoRedefine/>
    <w:qFormat/>
    <w:uiPriority w:val="0"/>
    <w:rPr>
      <w:i/>
      <w:iCs/>
      <w:kern w:val="2"/>
      <w:sz w:val="21"/>
    </w:rPr>
  </w:style>
  <w:style w:type="character" w:customStyle="1" w:styleId="94">
    <w:name w:val="正文文本 3 Char"/>
    <w:basedOn w:val="47"/>
    <w:link w:val="17"/>
    <w:autoRedefine/>
    <w:qFormat/>
    <w:uiPriority w:val="0"/>
    <w:rPr>
      <w:color w:val="0000FF"/>
      <w:kern w:val="2"/>
      <w:sz w:val="24"/>
      <w:szCs w:val="24"/>
    </w:rPr>
  </w:style>
  <w:style w:type="character" w:customStyle="1" w:styleId="95">
    <w:name w:val="font11"/>
    <w:basedOn w:val="47"/>
    <w:autoRedefine/>
    <w:qFormat/>
    <w:uiPriority w:val="0"/>
    <w:rPr>
      <w:rFonts w:hint="default" w:ascii="Times New Roman" w:hAnsi="Times New Roman" w:cs="Times New Roman"/>
      <w:color w:val="000000"/>
      <w:sz w:val="20"/>
      <w:szCs w:val="20"/>
      <w:u w:val="none"/>
    </w:rPr>
  </w:style>
  <w:style w:type="character" w:customStyle="1" w:styleId="96">
    <w:name w:val="glossaryitem"/>
    <w:basedOn w:val="47"/>
    <w:autoRedefine/>
    <w:qFormat/>
    <w:uiPriority w:val="0"/>
    <w:rPr>
      <w:u w:val="none"/>
    </w:rPr>
  </w:style>
  <w:style w:type="character" w:customStyle="1" w:styleId="97">
    <w:name w:val="HTML 预设格式 Char"/>
    <w:basedOn w:val="47"/>
    <w:link w:val="39"/>
    <w:autoRedefine/>
    <w:qFormat/>
    <w:uiPriority w:val="0"/>
    <w:rPr>
      <w:rFonts w:ascii="Arial Unicode MS" w:hAnsi="Arial Unicode MS" w:eastAsia="Courier New" w:cs="Courier New"/>
    </w:rPr>
  </w:style>
  <w:style w:type="character" w:customStyle="1" w:styleId="98">
    <w:name w:val="文档结构图 Char"/>
    <w:basedOn w:val="47"/>
    <w:link w:val="15"/>
    <w:autoRedefine/>
    <w:qFormat/>
    <w:uiPriority w:val="0"/>
    <w:rPr>
      <w:rFonts w:ascii="宋体"/>
      <w:sz w:val="28"/>
      <w:shd w:val="clear" w:color="auto" w:fill="000080"/>
    </w:rPr>
  </w:style>
  <w:style w:type="character" w:customStyle="1" w:styleId="99">
    <w:name w:val="日期 Char"/>
    <w:basedOn w:val="47"/>
    <w:link w:val="26"/>
    <w:autoRedefine/>
    <w:qFormat/>
    <w:uiPriority w:val="0"/>
    <w:rPr>
      <w:kern w:val="2"/>
      <w:sz w:val="21"/>
      <w:szCs w:val="24"/>
    </w:rPr>
  </w:style>
  <w:style w:type="character" w:customStyle="1" w:styleId="100">
    <w:name w:val="正文文本 2 Char"/>
    <w:basedOn w:val="47"/>
    <w:link w:val="37"/>
    <w:autoRedefine/>
    <w:qFormat/>
    <w:uiPriority w:val="0"/>
    <w:rPr>
      <w:kern w:val="2"/>
      <w:sz w:val="21"/>
      <w:szCs w:val="24"/>
    </w:rPr>
  </w:style>
  <w:style w:type="character" w:customStyle="1" w:styleId="101">
    <w:name w:val="正文首行缩进 Char"/>
    <w:basedOn w:val="89"/>
    <w:link w:val="44"/>
    <w:autoRedefine/>
    <w:qFormat/>
    <w:uiPriority w:val="0"/>
    <w:rPr>
      <w:rFonts w:eastAsia="宋体"/>
      <w:sz w:val="21"/>
      <w:szCs w:val="21"/>
      <w:lang w:val="en-US" w:eastAsia="zh-CN" w:bidi="ar-SA"/>
    </w:rPr>
  </w:style>
  <w:style w:type="character" w:customStyle="1" w:styleId="102">
    <w:name w:val="批注主题 Char"/>
    <w:basedOn w:val="85"/>
    <w:link w:val="43"/>
    <w:autoRedefine/>
    <w:qFormat/>
    <w:uiPriority w:val="0"/>
    <w:rPr>
      <w:b/>
      <w:bCs/>
      <w:kern w:val="2"/>
      <w:sz w:val="24"/>
      <w:szCs w:val="24"/>
    </w:rPr>
  </w:style>
  <w:style w:type="paragraph" w:customStyle="1" w:styleId="103">
    <w:name w:val="标题3(小3号)"/>
    <w:basedOn w:val="4"/>
    <w:next w:val="104"/>
    <w:autoRedefine/>
    <w:qFormat/>
    <w:uiPriority w:val="0"/>
    <w:pPr>
      <w:widowControl/>
      <w:spacing w:before="0" w:after="0" w:line="420" w:lineRule="exact"/>
    </w:pPr>
    <w:rPr>
      <w:b w:val="0"/>
      <w:bCs w:val="0"/>
      <w:color w:val="000000"/>
      <w:kern w:val="0"/>
      <w:sz w:val="30"/>
      <w:szCs w:val="21"/>
    </w:rPr>
  </w:style>
  <w:style w:type="paragraph" w:customStyle="1" w:styleId="104">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autoRedefine/>
    <w:qFormat/>
    <w:uiPriority w:val="0"/>
    <w:rPr>
      <w:rFonts w:ascii="宋体" w:hAnsi="宋体" w:cs="宋体"/>
      <w:sz w:val="24"/>
      <w:szCs w:val="24"/>
      <w:lang w:eastAsia="en-US"/>
    </w:rPr>
  </w:style>
  <w:style w:type="character" w:customStyle="1" w:styleId="106">
    <w:name w:val="信息标题 Char"/>
    <w:basedOn w:val="47"/>
    <w:link w:val="38"/>
    <w:autoRedefine/>
    <w:qFormat/>
    <w:uiPriority w:val="0"/>
    <w:rPr>
      <w:rFonts w:ascii="Arial" w:hAnsi="Arial" w:cs="Arial"/>
      <w:kern w:val="2"/>
      <w:sz w:val="24"/>
      <w:szCs w:val="24"/>
      <w:shd w:val="pct20" w:color="auto" w:fill="auto"/>
    </w:rPr>
  </w:style>
  <w:style w:type="character" w:customStyle="1" w:styleId="107">
    <w:name w:val="正文文本 3 Char1"/>
    <w:basedOn w:val="47"/>
    <w:autoRedefine/>
    <w:qFormat/>
    <w:uiPriority w:val="0"/>
    <w:rPr>
      <w:rFonts w:ascii="宋体" w:hAnsi="宋体" w:cs="宋体"/>
      <w:sz w:val="16"/>
      <w:szCs w:val="16"/>
      <w:lang w:eastAsia="en-US"/>
    </w:rPr>
  </w:style>
  <w:style w:type="paragraph" w:customStyle="1" w:styleId="108">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7"/>
    <w:autoRedefine/>
    <w:qFormat/>
    <w:uiPriority w:val="0"/>
    <w:rPr>
      <w:rFonts w:ascii="宋体" w:hAnsi="宋体" w:cs="宋体"/>
      <w:sz w:val="22"/>
      <w:szCs w:val="22"/>
      <w:lang w:eastAsia="en-US"/>
    </w:rPr>
  </w:style>
  <w:style w:type="character" w:customStyle="1" w:styleId="111">
    <w:name w:val="批注文字 Char1"/>
    <w:basedOn w:val="47"/>
    <w:autoRedefine/>
    <w:qFormat/>
    <w:uiPriority w:val="0"/>
    <w:rPr>
      <w:rFonts w:ascii="宋体" w:hAnsi="宋体" w:cs="宋体"/>
      <w:sz w:val="22"/>
      <w:szCs w:val="22"/>
      <w:lang w:eastAsia="en-US"/>
    </w:rPr>
  </w:style>
  <w:style w:type="paragraph" w:customStyle="1" w:styleId="112">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7"/>
    <w:autoRedefine/>
    <w:qFormat/>
    <w:uiPriority w:val="0"/>
    <w:rPr>
      <w:rFonts w:ascii="宋体" w:hAnsi="宋体" w:cs="宋体"/>
      <w:sz w:val="18"/>
      <w:szCs w:val="18"/>
      <w:lang w:eastAsia="en-US"/>
    </w:rPr>
  </w:style>
  <w:style w:type="character" w:customStyle="1" w:styleId="116">
    <w:name w:val="日期 Char1"/>
    <w:basedOn w:val="47"/>
    <w:autoRedefine/>
    <w:qFormat/>
    <w:uiPriority w:val="0"/>
    <w:rPr>
      <w:rFonts w:ascii="宋体" w:hAnsi="宋体" w:cs="宋体"/>
      <w:sz w:val="22"/>
      <w:szCs w:val="22"/>
      <w:lang w:eastAsia="en-US"/>
    </w:rPr>
  </w:style>
  <w:style w:type="paragraph" w:customStyle="1" w:styleId="117">
    <w:name w:val="标题3(3号)"/>
    <w:basedOn w:val="4"/>
    <w:next w:val="118"/>
    <w:autoRedefine/>
    <w:qFormat/>
    <w:uiPriority w:val="0"/>
    <w:pPr>
      <w:widowControl/>
      <w:spacing w:before="0" w:after="0" w:line="420" w:lineRule="exact"/>
    </w:pPr>
    <w:rPr>
      <w:b w:val="0"/>
      <w:bCs w:val="0"/>
      <w:color w:val="000000"/>
      <w:kern w:val="0"/>
      <w:szCs w:val="21"/>
    </w:rPr>
  </w:style>
  <w:style w:type="paragraph" w:customStyle="1" w:styleId="118">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7"/>
    <w:autoRedefine/>
    <w:qFormat/>
    <w:uiPriority w:val="0"/>
    <w:rPr>
      <w:rFonts w:ascii="Courier New" w:hAnsi="Courier New" w:cs="Courier New"/>
      <w:lang w:eastAsia="en-US"/>
    </w:rPr>
  </w:style>
  <w:style w:type="character" w:customStyle="1" w:styleId="121">
    <w:name w:val="正文文本缩进 Char1"/>
    <w:basedOn w:val="47"/>
    <w:autoRedefine/>
    <w:qFormat/>
    <w:uiPriority w:val="0"/>
    <w:rPr>
      <w:rFonts w:ascii="宋体" w:hAnsi="宋体" w:cs="宋体"/>
      <w:sz w:val="22"/>
      <w:szCs w:val="22"/>
      <w:lang w:eastAsia="en-US"/>
    </w:rPr>
  </w:style>
  <w:style w:type="paragraph" w:customStyle="1" w:styleId="122">
    <w:name w:val="标题2(小3号)"/>
    <w:basedOn w:val="3"/>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7"/>
    <w:autoRedefine/>
    <w:qFormat/>
    <w:uiPriority w:val="0"/>
    <w:rPr>
      <w:rFonts w:ascii="宋体" w:hAnsi="宋体" w:cs="宋体"/>
      <w:sz w:val="22"/>
      <w:szCs w:val="22"/>
      <w:lang w:eastAsia="en-US"/>
    </w:rPr>
  </w:style>
  <w:style w:type="character" w:customStyle="1" w:styleId="129">
    <w:name w:val="标题 Char1"/>
    <w:basedOn w:val="47"/>
    <w:autoRedefine/>
    <w:qFormat/>
    <w:uiPriority w:val="0"/>
    <w:rPr>
      <w:rFonts w:asciiTheme="majorHAnsi" w:hAnsiTheme="majorHAnsi" w:cstheme="majorBidi"/>
      <w:b/>
      <w:bCs/>
      <w:sz w:val="32"/>
      <w:szCs w:val="32"/>
      <w:lang w:eastAsia="en-US"/>
    </w:rPr>
  </w:style>
  <w:style w:type="character" w:customStyle="1" w:styleId="130">
    <w:name w:val="正文文本缩进 3 Char1"/>
    <w:basedOn w:val="47"/>
    <w:autoRedefine/>
    <w:qFormat/>
    <w:uiPriority w:val="0"/>
    <w:rPr>
      <w:rFonts w:ascii="宋体" w:hAnsi="宋体" w:cs="宋体"/>
      <w:sz w:val="16"/>
      <w:szCs w:val="16"/>
      <w:lang w:eastAsia="en-US"/>
    </w:rPr>
  </w:style>
  <w:style w:type="paragraph" w:customStyle="1" w:styleId="131">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7"/>
    <w:autoRedefine/>
    <w:qFormat/>
    <w:uiPriority w:val="0"/>
    <w:rPr>
      <w:rFonts w:ascii="宋体" w:hAnsi="宋体" w:cs="宋体"/>
      <w:sz w:val="18"/>
      <w:szCs w:val="18"/>
      <w:lang w:eastAsia="en-US"/>
    </w:rPr>
  </w:style>
  <w:style w:type="character" w:customStyle="1" w:styleId="134">
    <w:name w:val="批注主题 Char1"/>
    <w:basedOn w:val="111"/>
    <w:autoRedefine/>
    <w:qFormat/>
    <w:uiPriority w:val="0"/>
    <w:rPr>
      <w:rFonts w:ascii="宋体" w:hAnsi="宋体" w:cs="宋体"/>
      <w:b/>
      <w:bCs/>
      <w:sz w:val="22"/>
      <w:szCs w:val="22"/>
      <w:lang w:eastAsia="en-US"/>
    </w:rPr>
  </w:style>
  <w:style w:type="paragraph" w:customStyle="1" w:styleId="135">
    <w:name w:val="封底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autoRedefine/>
    <w:qFormat/>
    <w:uiPriority w:val="0"/>
    <w:pPr>
      <w:widowControl/>
      <w:spacing w:before="0" w:after="0" w:line="420" w:lineRule="exact"/>
    </w:pPr>
    <w:rPr>
      <w:b w:val="0"/>
      <w:bCs w:val="0"/>
      <w:color w:val="000000"/>
      <w:kern w:val="0"/>
      <w:sz w:val="28"/>
      <w:szCs w:val="21"/>
    </w:rPr>
  </w:style>
  <w:style w:type="paragraph" w:customStyle="1" w:styleId="137">
    <w:name w:val="标题2"/>
    <w:basedOn w:val="3"/>
    <w:autoRedefine/>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autoRedefine/>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8"/>
    <w:next w:val="38"/>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autoRedefine/>
    <w:qFormat/>
    <w:uiPriority w:val="0"/>
    <w:pPr>
      <w:widowControl/>
      <w:spacing w:before="0" w:after="0" w:line="420" w:lineRule="exact"/>
    </w:pPr>
    <w:rPr>
      <w:b w:val="0"/>
      <w:bCs w:val="0"/>
      <w:color w:val="000000"/>
      <w:kern w:val="0"/>
      <w:sz w:val="24"/>
      <w:szCs w:val="21"/>
    </w:rPr>
  </w:style>
  <w:style w:type="paragraph" w:customStyle="1" w:styleId="154">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autoRedefine/>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autoRedefine/>
    <w:qFormat/>
    <w:uiPriority w:val="0"/>
    <w:pPr>
      <w:widowControl/>
      <w:autoSpaceDE/>
      <w:autoSpaceDN/>
    </w:pPr>
    <w:rPr>
      <w:sz w:val="24"/>
      <w:szCs w:val="24"/>
      <w:lang w:eastAsia="zh-CN"/>
    </w:rPr>
  </w:style>
  <w:style w:type="paragraph" w:customStyle="1" w:styleId="169">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4"/>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autoRedefine/>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0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autoRedefine/>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autoRedefine/>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autoRedefine/>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autoRedefine/>
    <w:qFormat/>
    <w:uiPriority w:val="0"/>
    <w:pPr>
      <w:numPr>
        <w:ilvl w:val="3"/>
      </w:numPr>
      <w:outlineLvl w:val="3"/>
    </w:pPr>
  </w:style>
  <w:style w:type="paragraph" w:customStyle="1" w:styleId="188">
    <w:name w:val="大纲5"/>
    <w:basedOn w:val="187"/>
    <w:autoRedefine/>
    <w:qFormat/>
    <w:uiPriority w:val="0"/>
    <w:pPr>
      <w:numPr>
        <w:ilvl w:val="4"/>
      </w:numPr>
      <w:tabs>
        <w:tab w:val="left" w:pos="360"/>
      </w:tabs>
      <w:outlineLvl w:val="4"/>
    </w:pPr>
    <w:rPr>
      <w:b w:val="0"/>
      <w:szCs w:val="36"/>
    </w:rPr>
  </w:style>
  <w:style w:type="paragraph" w:customStyle="1" w:styleId="189">
    <w:name w:val="大纲6"/>
    <w:basedOn w:val="188"/>
    <w:autoRedefine/>
    <w:qFormat/>
    <w:uiPriority w:val="0"/>
    <w:pPr>
      <w:numPr>
        <w:ilvl w:val="5"/>
      </w:numPr>
      <w:outlineLvl w:val="5"/>
    </w:pPr>
    <w:rPr>
      <w:rFonts w:ascii="宋体"/>
      <w:szCs w:val="24"/>
    </w:rPr>
  </w:style>
  <w:style w:type="paragraph" w:customStyle="1" w:styleId="190">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7"/>
    <w:autoRedefine/>
    <w:qFormat/>
    <w:uiPriority w:val="0"/>
  </w:style>
  <w:style w:type="character" w:customStyle="1" w:styleId="207">
    <w:name w:val="xdrichtextbox3"/>
    <w:basedOn w:val="47"/>
    <w:autoRedefine/>
    <w:qFormat/>
    <w:uiPriority w:val="0"/>
    <w:rPr>
      <w:color w:val="auto"/>
      <w:u w:val="none"/>
      <w:bdr w:val="single" w:color="DCDCDC" w:sz="8" w:space="0"/>
      <w:shd w:val="clear" w:color="auto" w:fill="FFFFFF"/>
    </w:rPr>
  </w:style>
  <w:style w:type="character" w:customStyle="1" w:styleId="208">
    <w:name w:val="xdrichtextbox"/>
    <w:basedOn w:val="47"/>
    <w:autoRedefine/>
    <w:qFormat/>
    <w:uiPriority w:val="0"/>
  </w:style>
  <w:style w:type="paragraph" w:customStyle="1" w:styleId="209">
    <w:name w:val="表的标题"/>
    <w:basedOn w:val="1"/>
    <w:next w:val="210"/>
    <w:autoRedefine/>
    <w:qFormat/>
    <w:uiPriority w:val="0"/>
    <w:pPr>
      <w:adjustRightInd w:val="0"/>
      <w:snapToGrid w:val="0"/>
      <w:jc w:val="center"/>
    </w:pPr>
    <w:rPr>
      <w:rFonts w:ascii="Arial" w:hAnsi="Arial"/>
      <w:sz w:val="24"/>
      <w:szCs w:val="20"/>
    </w:rPr>
  </w:style>
  <w:style w:type="paragraph" w:customStyle="1" w:styleId="210">
    <w:name w:val="表中正文"/>
    <w:basedOn w:val="1"/>
    <w:autoRedefine/>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7"/>
    <w:autoRedefine/>
    <w:qFormat/>
    <w:uiPriority w:val="0"/>
    <w:rPr>
      <w:bdr w:val="single" w:color="CCCCCC" w:sz="6" w:space="0"/>
      <w:shd w:val="clear" w:color="auto" w:fill="FFFFFF"/>
    </w:rPr>
  </w:style>
  <w:style w:type="character" w:customStyle="1" w:styleId="212">
    <w:name w:val="cdropleft"/>
    <w:basedOn w:val="47"/>
    <w:autoRedefine/>
    <w:qFormat/>
    <w:uiPriority w:val="0"/>
  </w:style>
  <w:style w:type="character" w:customStyle="1" w:styleId="213">
    <w:name w:val="icontext2"/>
    <w:basedOn w:val="47"/>
    <w:autoRedefine/>
    <w:qFormat/>
    <w:uiPriority w:val="0"/>
  </w:style>
  <w:style w:type="character" w:customStyle="1" w:styleId="214">
    <w:name w:val="icontext1"/>
    <w:basedOn w:val="47"/>
    <w:autoRedefine/>
    <w:qFormat/>
    <w:uiPriority w:val="0"/>
  </w:style>
  <w:style w:type="character" w:customStyle="1" w:styleId="215">
    <w:name w:val="icontext11"/>
    <w:basedOn w:val="47"/>
    <w:autoRedefine/>
    <w:qFormat/>
    <w:uiPriority w:val="0"/>
  </w:style>
  <w:style w:type="character" w:customStyle="1" w:styleId="216">
    <w:name w:val="icontext12"/>
    <w:basedOn w:val="47"/>
    <w:autoRedefine/>
    <w:qFormat/>
    <w:uiPriority w:val="0"/>
  </w:style>
  <w:style w:type="character" w:customStyle="1" w:styleId="217">
    <w:name w:val="tmpztreemove_arrow"/>
    <w:basedOn w:val="47"/>
    <w:autoRedefine/>
    <w:qFormat/>
    <w:uiPriority w:val="0"/>
  </w:style>
  <w:style w:type="character" w:customStyle="1" w:styleId="218">
    <w:name w:val="w32"/>
    <w:basedOn w:val="47"/>
    <w:autoRedefine/>
    <w:qFormat/>
    <w:uiPriority w:val="0"/>
  </w:style>
  <w:style w:type="character" w:customStyle="1" w:styleId="219">
    <w:name w:val="button"/>
    <w:basedOn w:val="47"/>
    <w:autoRedefine/>
    <w:qFormat/>
    <w:uiPriority w:val="0"/>
  </w:style>
  <w:style w:type="character" w:customStyle="1" w:styleId="220">
    <w:name w:val="iconline2"/>
    <w:basedOn w:val="47"/>
    <w:autoRedefine/>
    <w:qFormat/>
    <w:uiPriority w:val="0"/>
  </w:style>
  <w:style w:type="character" w:customStyle="1" w:styleId="221">
    <w:name w:val="iconline21"/>
    <w:basedOn w:val="47"/>
    <w:autoRedefine/>
    <w:qFormat/>
    <w:uiPriority w:val="0"/>
  </w:style>
  <w:style w:type="character" w:customStyle="1" w:styleId="222">
    <w:name w:val="icontext3"/>
    <w:basedOn w:val="47"/>
    <w:autoRedefine/>
    <w:qFormat/>
    <w:uiPriority w:val="0"/>
  </w:style>
  <w:style w:type="character" w:customStyle="1" w:styleId="223">
    <w:name w:val="cy"/>
    <w:basedOn w:val="47"/>
    <w:autoRedefine/>
    <w:qFormat/>
    <w:uiPriority w:val="0"/>
  </w:style>
  <w:style w:type="character" w:customStyle="1" w:styleId="224">
    <w:name w:val="first-child"/>
    <w:basedOn w:val="47"/>
    <w:autoRedefine/>
    <w:qFormat/>
    <w:uiPriority w:val="0"/>
  </w:style>
  <w:style w:type="character" w:customStyle="1" w:styleId="225">
    <w:name w:val="choosename"/>
    <w:basedOn w:val="47"/>
    <w:autoRedefine/>
    <w:qFormat/>
    <w:uiPriority w:val="0"/>
  </w:style>
  <w:style w:type="character" w:customStyle="1" w:styleId="226">
    <w:name w:val="design_class"/>
    <w:basedOn w:val="47"/>
    <w:autoRedefine/>
    <w:qFormat/>
    <w:uiPriority w:val="0"/>
  </w:style>
  <w:style w:type="character" w:customStyle="1" w:styleId="227">
    <w:name w:val="hover39"/>
    <w:basedOn w:val="47"/>
    <w:autoRedefine/>
    <w:qFormat/>
    <w:uiPriority w:val="0"/>
    <w:rPr>
      <w:color w:val="FFFFFF"/>
    </w:rPr>
  </w:style>
  <w:style w:type="character" w:customStyle="1" w:styleId="228">
    <w:name w:val="associateddata"/>
    <w:basedOn w:val="47"/>
    <w:autoRedefine/>
    <w:qFormat/>
    <w:uiPriority w:val="0"/>
    <w:rPr>
      <w:shd w:val="clear" w:color="auto" w:fill="50A6F9"/>
    </w:rPr>
  </w:style>
  <w:style w:type="character" w:customStyle="1" w:styleId="229">
    <w:name w:val="pagechatarealistclose_box"/>
    <w:basedOn w:val="47"/>
    <w:autoRedefine/>
    <w:qFormat/>
    <w:uiPriority w:val="0"/>
  </w:style>
  <w:style w:type="character" w:customStyle="1" w:styleId="230">
    <w:name w:val="pagechatarealistclose_box1"/>
    <w:basedOn w:val="47"/>
    <w:autoRedefine/>
    <w:qFormat/>
    <w:uiPriority w:val="0"/>
  </w:style>
  <w:style w:type="character" w:customStyle="1" w:styleId="231">
    <w:name w:val="ico1653"/>
    <w:basedOn w:val="47"/>
    <w:autoRedefine/>
    <w:qFormat/>
    <w:uiPriority w:val="0"/>
  </w:style>
  <w:style w:type="character" w:customStyle="1" w:styleId="232">
    <w:name w:val="ico1654"/>
    <w:basedOn w:val="47"/>
    <w:autoRedefine/>
    <w:qFormat/>
    <w:uiPriority w:val="0"/>
  </w:style>
  <w:style w:type="character" w:customStyle="1" w:styleId="233">
    <w:name w:val="edit_class"/>
    <w:basedOn w:val="47"/>
    <w:autoRedefine/>
    <w:qFormat/>
    <w:uiPriority w:val="0"/>
  </w:style>
  <w:style w:type="character" w:customStyle="1" w:styleId="234">
    <w:name w:val="biggerthanmax"/>
    <w:basedOn w:val="47"/>
    <w:autoRedefine/>
    <w:qFormat/>
    <w:uiPriority w:val="0"/>
    <w:rPr>
      <w:shd w:val="clear" w:color="auto" w:fill="FFFF00"/>
    </w:rPr>
  </w:style>
  <w:style w:type="character" w:customStyle="1" w:styleId="235">
    <w:name w:val="after"/>
    <w:basedOn w:val="47"/>
    <w:autoRedefine/>
    <w:qFormat/>
    <w:uiPriority w:val="0"/>
    <w:rPr>
      <w:sz w:val="0"/>
      <w:szCs w:val="0"/>
    </w:rPr>
  </w:style>
  <w:style w:type="character" w:customStyle="1" w:styleId="236">
    <w:name w:val="cdropright"/>
    <w:basedOn w:val="47"/>
    <w:autoRedefine/>
    <w:qFormat/>
    <w:uiPriority w:val="0"/>
  </w:style>
  <w:style w:type="character" w:customStyle="1" w:styleId="237">
    <w:name w:val="drapbtn"/>
    <w:basedOn w:val="47"/>
    <w:autoRedefine/>
    <w:qFormat/>
    <w:uiPriority w:val="0"/>
  </w:style>
  <w:style w:type="character" w:customStyle="1" w:styleId="238">
    <w:name w:val="hilite5"/>
    <w:basedOn w:val="47"/>
    <w:autoRedefine/>
    <w:qFormat/>
    <w:uiPriority w:val="0"/>
    <w:rPr>
      <w:color w:val="FFFFFF"/>
      <w:shd w:val="clear" w:color="auto" w:fill="666666"/>
    </w:rPr>
  </w:style>
  <w:style w:type="character" w:customStyle="1" w:styleId="239">
    <w:name w:val="active5"/>
    <w:basedOn w:val="47"/>
    <w:autoRedefine/>
    <w:qFormat/>
    <w:uiPriority w:val="0"/>
    <w:rPr>
      <w:color w:val="00FF00"/>
      <w:shd w:val="clear" w:color="auto" w:fill="111111"/>
    </w:rPr>
  </w:style>
  <w:style w:type="character" w:customStyle="1" w:styleId="240">
    <w:name w:val="active6"/>
    <w:basedOn w:val="47"/>
    <w:autoRedefine/>
    <w:qFormat/>
    <w:uiPriority w:val="0"/>
    <w:rPr>
      <w:shd w:val="clear" w:color="auto" w:fill="EC3535"/>
    </w:rPr>
  </w:style>
  <w:style w:type="character" w:customStyle="1" w:styleId="241">
    <w:name w:val="xdrichtextbox4"/>
    <w:basedOn w:val="47"/>
    <w:autoRedefine/>
    <w:qFormat/>
    <w:uiPriority w:val="0"/>
  </w:style>
  <w:style w:type="character" w:customStyle="1" w:styleId="242">
    <w:name w:val="button4"/>
    <w:basedOn w:val="47"/>
    <w:autoRedefine/>
    <w:qFormat/>
    <w:uiPriority w:val="0"/>
  </w:style>
  <w:style w:type="character" w:customStyle="1" w:styleId="243">
    <w:name w:val="hilite6"/>
    <w:basedOn w:val="47"/>
    <w:autoRedefine/>
    <w:qFormat/>
    <w:uiPriority w:val="0"/>
    <w:rPr>
      <w:color w:val="FFFFFF"/>
      <w:shd w:val="clear" w:color="auto" w:fill="666666"/>
    </w:rPr>
  </w:style>
  <w:style w:type="character" w:customStyle="1" w:styleId="244">
    <w:name w:val="active"/>
    <w:basedOn w:val="47"/>
    <w:autoRedefine/>
    <w:qFormat/>
    <w:uiPriority w:val="0"/>
    <w:rPr>
      <w:color w:val="00FF00"/>
      <w:shd w:val="clear" w:color="auto" w:fill="111111"/>
    </w:rPr>
  </w:style>
  <w:style w:type="character" w:customStyle="1" w:styleId="245">
    <w:name w:val="active1"/>
    <w:basedOn w:val="47"/>
    <w:autoRedefine/>
    <w:qFormat/>
    <w:uiPriority w:val="0"/>
    <w:rPr>
      <w:shd w:val="clear" w:color="auto" w:fill="EC3535"/>
    </w:rPr>
  </w:style>
  <w:style w:type="character" w:customStyle="1" w:styleId="246">
    <w:name w:val="hover41"/>
    <w:basedOn w:val="47"/>
    <w:autoRedefine/>
    <w:qFormat/>
    <w:uiPriority w:val="0"/>
    <w:rPr>
      <w:color w:val="FFFFFF"/>
    </w:rPr>
  </w:style>
  <w:style w:type="character" w:customStyle="1" w:styleId="247">
    <w:name w:val="ico1655"/>
    <w:basedOn w:val="47"/>
    <w:autoRedefine/>
    <w:qFormat/>
    <w:uiPriority w:val="0"/>
  </w:style>
  <w:style w:type="character" w:customStyle="1" w:styleId="248">
    <w:name w:val="active3"/>
    <w:basedOn w:val="47"/>
    <w:autoRedefine/>
    <w:qFormat/>
    <w:uiPriority w:val="0"/>
    <w:rPr>
      <w:color w:val="00FF00"/>
      <w:shd w:val="clear" w:color="auto" w:fill="111111"/>
    </w:rPr>
  </w:style>
  <w:style w:type="character" w:customStyle="1" w:styleId="249">
    <w:name w:val="active4"/>
    <w:basedOn w:val="47"/>
    <w:autoRedefine/>
    <w:qFormat/>
    <w:uiPriority w:val="0"/>
    <w:rPr>
      <w:shd w:val="clear" w:color="auto" w:fill="EC3535"/>
    </w:rPr>
  </w:style>
  <w:style w:type="character" w:customStyle="1" w:styleId="250">
    <w:name w:val="common_over_page_btn"/>
    <w:basedOn w:val="47"/>
    <w:autoRedefine/>
    <w:qFormat/>
    <w:uiPriority w:val="0"/>
    <w:rPr>
      <w:color w:val="999999"/>
      <w:bdr w:val="single" w:color="D4D4D4" w:sz="6" w:space="0"/>
      <w:shd w:val="clear" w:color="auto" w:fill="FFFFFF"/>
    </w:rPr>
  </w:style>
  <w:style w:type="character" w:customStyle="1" w:styleId="251">
    <w:name w:val="common_over_page_btn1"/>
    <w:basedOn w:val="47"/>
    <w:autoRedefine/>
    <w:qFormat/>
    <w:uiPriority w:val="0"/>
  </w:style>
  <w:style w:type="paragraph" w:customStyle="1" w:styleId="252">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3">
    <w:name w:val="List Paragraph"/>
    <w:basedOn w:val="1"/>
    <w:qFormat/>
    <w:uiPriority w:val="34"/>
    <w:pPr>
      <w:ind w:firstLine="420" w:firstLineChars="200"/>
    </w:pPr>
  </w:style>
  <w:style w:type="paragraph" w:customStyle="1" w:styleId="254">
    <w:name w:val="5文章(治)"/>
    <w:basedOn w:val="1"/>
    <w:qFormat/>
    <w:uiPriority w:val="0"/>
    <w:pPr>
      <w:snapToGrid w:val="0"/>
      <w:spacing w:line="360" w:lineRule="auto"/>
      <w:ind w:firstLine="482" w:firstLineChars="200"/>
    </w:pPr>
    <w:rPr>
      <w:rFonts w:ascii="Times New Roman" w:hAnsi="Times New Roman"/>
      <w:color w:val="000000"/>
      <w:sz w:val="24"/>
      <w:szCs w:val="28"/>
    </w:rPr>
  </w:style>
  <w:style w:type="paragraph" w:customStyle="1" w:styleId="255">
    <w:name w:val="7表格(治)"/>
    <w:qFormat/>
    <w:uiPriority w:val="0"/>
    <w:pPr>
      <w:widowControl w:val="0"/>
      <w:snapToGrid w:val="0"/>
      <w:jc w:val="center"/>
    </w:pPr>
    <w:rPr>
      <w:rFonts w:ascii="Times New Roman" w:hAnsi="Times New Roman" w:eastAsiaTheme="minorEastAsia" w:cstheme="minorBidi"/>
      <w:kern w:val="2"/>
      <w:sz w:val="21"/>
      <w:szCs w:val="22"/>
      <w:lang w:val="en-US" w:eastAsia="zh-CN" w:bidi="ar-SA"/>
    </w:rPr>
  </w:style>
  <w:style w:type="paragraph" w:customStyle="1" w:styleId="256">
    <w:name w:val="6表(图)头(治)"/>
    <w:next w:val="1"/>
    <w:qFormat/>
    <w:uiPriority w:val="0"/>
    <w:pPr>
      <w:widowControl w:val="0"/>
      <w:adjustRightInd w:val="0"/>
      <w:snapToGrid w:val="0"/>
      <w:ind w:firstLine="482"/>
      <w:jc w:val="center"/>
    </w:pPr>
    <w:rPr>
      <w:rFonts w:ascii="Times New Roman" w:hAnsi="Times New Roman" w:eastAsia="黑体" w:cstheme="minorBidi"/>
      <w:b/>
      <w:color w:val="000000"/>
      <w:spacing w:val="4"/>
      <w:kern w:val="2"/>
      <w:sz w:val="28"/>
      <w:szCs w:val="28"/>
      <w:lang w:val="en-US" w:eastAsia="zh-CN" w:bidi="ar-SA"/>
    </w:rPr>
  </w:style>
  <w:style w:type="paragraph" w:customStyle="1" w:styleId="257">
    <w:name w:val="样式 5文章(治) + 首行缩进:  2 字符"/>
    <w:basedOn w:val="254"/>
    <w:qFormat/>
    <w:uiPriority w:val="0"/>
    <w:pPr>
      <w:jc w:val="left"/>
    </w:pPr>
    <w:rPr>
      <w:rFonts w:eastAsia="宋体" w:cs="宋体"/>
      <w:kern w:val="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D86E1-EA50-4DB5-ABEC-27453DFEDA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15451</Words>
  <Characters>16545</Characters>
  <Lines>114</Lines>
  <Paragraphs>32</Paragraphs>
  <TotalTime>1407</TotalTime>
  <ScaleCrop>false</ScaleCrop>
  <LinksUpToDate>false</LinksUpToDate>
  <CharactersWithSpaces>17836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2024-10-31T01:24:21Z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