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锅炉照明电源箱采购</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lang w:val="en-US" w:eastAsia="zh-CN"/>
        </w:rPr>
        <w:t>QG2305170037</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tabs>
          <w:tab w:val="left" w:pos="709"/>
        </w:tabs>
        <w:spacing w:line="360" w:lineRule="auto"/>
        <w:ind w:firstLine="480" w:firstLineChars="200"/>
        <w:rPr>
          <w:rFonts w:hint="default"/>
          <w:sz w:val="24"/>
          <w:szCs w:val="24"/>
          <w:lang w:val="en-US" w:eastAsia="zh-CN"/>
        </w:rPr>
      </w:pPr>
      <w:r>
        <w:rPr>
          <w:rFonts w:hint="eastAsia"/>
          <w:sz w:val="24"/>
          <w:szCs w:val="24"/>
          <w:lang w:val="en-US" w:eastAsia="zh-CN"/>
        </w:rPr>
        <w:t>附件三：技术规格书</w:t>
      </w:r>
    </w:p>
    <w:p>
      <w:pPr>
        <w:pStyle w:val="2"/>
        <w:rPr>
          <w:lang w:eastAsia="zh-CN"/>
        </w:rPr>
      </w:pP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锅炉照明电源箱</w:t>
      </w:r>
      <w:r>
        <w:rPr>
          <w:rFonts w:hint="eastAsia"/>
          <w:b/>
          <w:bCs/>
          <w:sz w:val="32"/>
          <w:lang w:eastAsia="zh-CN"/>
        </w:rPr>
        <w:t>采购项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锅炉照明电源箱</w:t>
      </w:r>
      <w:r>
        <w:rPr>
          <w:rFonts w:hint="eastAsia"/>
          <w:color w:val="000000" w:themeColor="text1"/>
          <w:u w:val="single"/>
          <w:lang w:eastAsia="zh-CN"/>
        </w:rPr>
        <w:t>采购项目（项目编号：QG2305170037）</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锅炉照明电源箱</w:t>
      </w:r>
      <w:r>
        <w:rPr>
          <w:rFonts w:hint="eastAsia"/>
          <w:sz w:val="24"/>
          <w:szCs w:val="24"/>
          <w:lang w:eastAsia="zh-CN"/>
        </w:rPr>
        <w:t>采购项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rFonts w:hint="default"/>
          <w:lang w:val="en-US" w:eastAsia="zh-CN"/>
        </w:rPr>
      </w:pPr>
      <w:r>
        <w:rPr>
          <w:sz w:val="24"/>
          <w:szCs w:val="24"/>
          <w:lang w:eastAsia="zh-CN"/>
        </w:rPr>
        <w:t>2.</w:t>
      </w:r>
      <w:r>
        <w:rPr>
          <w:rFonts w:hint="eastAsia"/>
          <w:sz w:val="24"/>
          <w:szCs w:val="24"/>
          <w:lang w:eastAsia="zh-CN"/>
        </w:rPr>
        <w:t>比选项目说明：</w:t>
      </w:r>
    </w:p>
    <w:p>
      <w:pPr>
        <w:tabs>
          <w:tab w:val="left" w:pos="709"/>
        </w:tabs>
        <w:spacing w:line="360" w:lineRule="auto"/>
        <w:rPr>
          <w:rFonts w:hint="default"/>
          <w:lang w:val="en-US" w:eastAsia="zh-CN"/>
        </w:rPr>
      </w:pPr>
      <w:r>
        <w:rPr>
          <w:rFonts w:hint="eastAsia"/>
          <w:sz w:val="24"/>
          <w:szCs w:val="24"/>
          <w:lang w:val="en-US" w:eastAsia="zh-CN"/>
        </w:rPr>
        <w:t xml:space="preserve">锅炉照明电源箱 </w:t>
      </w:r>
      <w:r>
        <w:rPr>
          <w:rFonts w:hint="eastAsia"/>
          <w:sz w:val="24"/>
          <w:szCs w:val="24"/>
          <w:lang w:eastAsia="zh-CN"/>
        </w:rPr>
        <w:t>，</w:t>
      </w:r>
      <w:r>
        <w:rPr>
          <w:rFonts w:hint="eastAsia"/>
          <w:sz w:val="24"/>
          <w:szCs w:val="24"/>
          <w:lang w:val="en-US" w:eastAsia="zh-CN"/>
        </w:rPr>
        <w:t>详见技术规格书</w:t>
      </w:r>
    </w:p>
    <w:p>
      <w:pPr>
        <w:numPr>
          <w:ilvl w:val="0"/>
          <w:numId w:val="0"/>
        </w:num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3.比选控制价：8800元（含税价）。</w:t>
      </w:r>
    </w:p>
    <w:p>
      <w:pPr>
        <w:numPr>
          <w:ilvl w:val="0"/>
          <w:numId w:val="0"/>
        </w:numPr>
        <w:tabs>
          <w:tab w:val="left" w:pos="709"/>
        </w:tabs>
        <w:spacing w:line="360" w:lineRule="auto"/>
        <w:ind w:firstLine="480" w:firstLineChars="200"/>
        <w:rPr>
          <w:rFonts w:hint="default"/>
          <w:lang w:val="en-US" w:eastAsia="zh-CN"/>
        </w:rPr>
      </w:pPr>
      <w:r>
        <w:rPr>
          <w:rFonts w:hint="eastAsia"/>
          <w:sz w:val="24"/>
          <w:szCs w:val="24"/>
          <w:lang w:val="en-US" w:eastAsia="zh-CN"/>
        </w:rPr>
        <w:t>4.合同付款方式：到货后，甲方依据本合同约定的质量、数量标准验收合格后，乙方提供合同总额的税率为 13% 的增值税专用发票以及结算所需的各类清单，甲方收到并确认无误后30个工作日支付100%的货款。</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2.没有失信黑名单记录（以最高院失信被执行人系统发布信息为准）；</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4.本标不接受联合体投标；</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12</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22</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spacing w:before="15" w:line="360" w:lineRule="auto"/>
        <w:ind w:firstLine="480" w:firstLineChars="200"/>
        <w:rPr>
          <w:lang w:eastAsia="zh-CN"/>
        </w:rPr>
      </w:pPr>
      <w:r>
        <w:rPr>
          <w:rFonts w:hint="eastAsia"/>
          <w:sz w:val="24"/>
          <w:szCs w:val="24"/>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12</w:t>
      </w:r>
      <w:bookmarkStart w:id="16" w:name="_GoBack"/>
      <w:bookmarkEnd w:id="16"/>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锅炉照明电源箱采购项目</w:t>
      </w:r>
      <w:r>
        <w:rPr>
          <w:rFonts w:hint="eastAsia"/>
          <w:sz w:val="24"/>
          <w:szCs w:val="24"/>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0"/>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0"/>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0"/>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0"/>
        <w:spacing w:line="360" w:lineRule="auto"/>
        <w:ind w:right="121"/>
        <w:jc w:val="both"/>
        <w:rPr>
          <w:lang w:eastAsia="zh-CN"/>
        </w:rPr>
      </w:pPr>
      <w:r>
        <w:rPr>
          <w:rFonts w:hint="eastAsia"/>
          <w:lang w:eastAsia="zh-CN"/>
        </w:rPr>
        <w:t xml:space="preserve">    6.项目联系人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lang w:val="en-US" w:eastAsia="zh-CN"/>
        </w:rPr>
        <w:t>席中山</w:t>
      </w:r>
      <w:r>
        <w:rPr>
          <w:rFonts w:hint="eastAsia"/>
          <w:color w:val="000000" w:themeColor="text1"/>
          <w:sz w:val="24"/>
          <w:szCs w:val="24"/>
          <w:lang w:val="en-US" w:eastAsia="zh-CN"/>
        </w:rPr>
        <w:t xml:space="preserve"> 19959614207, xizhshan@163.com</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r>
        <w:rPr>
          <w:rFonts w:hint="eastAsia"/>
          <w:lang w:eastAsia="zh-CN"/>
        </w:rPr>
        <w:t>，</w:t>
      </w:r>
      <w:r>
        <w:rPr>
          <w:rFonts w:hint="eastAsia"/>
          <w:lang w:val="en-US" w:eastAsia="zh-CN"/>
        </w:rPr>
        <w:t>zyhe</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1.参选人必须具备有效的企业法人营业执照，参选单位应是具备独立法人资格且有能力按我司需求提供货物及服务；</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2.没有失信黑名单记录（以最高院失信被执行人系统发布信息为准）；</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3.与比选人无诉讼纠纷；</w:t>
      </w:r>
    </w:p>
    <w:p>
      <w:pPr>
        <w:tabs>
          <w:tab w:val="left" w:pos="709"/>
        </w:tabs>
        <w:spacing w:line="360" w:lineRule="auto"/>
        <w:ind w:firstLine="480"/>
        <w:rPr>
          <w:rFonts w:hint="eastAsia"/>
          <w:sz w:val="24"/>
          <w:szCs w:val="24"/>
          <w:lang w:val="en-US" w:eastAsia="zh-CN"/>
        </w:rPr>
      </w:pPr>
      <w:r>
        <w:rPr>
          <w:rFonts w:hint="eastAsia"/>
          <w:sz w:val="24"/>
          <w:szCs w:val="24"/>
          <w:lang w:val="en-US" w:eastAsia="zh-CN"/>
        </w:rPr>
        <w:t>4.本标不接受联合体投标；</w:t>
      </w:r>
    </w:p>
    <w:p>
      <w:pPr>
        <w:pStyle w:val="20"/>
        <w:spacing w:line="360" w:lineRule="auto"/>
        <w:ind w:right="121" w:firstLine="480"/>
        <w:jc w:val="both"/>
        <w:rPr>
          <w:b/>
          <w:w w:val="95"/>
          <w:sz w:val="28"/>
          <w:lang w:eastAsia="zh-CN"/>
        </w:rPr>
      </w:pPr>
      <w:r>
        <w:rPr>
          <w:b/>
          <w:w w:val="95"/>
          <w:sz w:val="28"/>
          <w:lang w:eastAsia="zh-CN"/>
        </w:rPr>
        <w:t>七、参选保证金</w:t>
      </w:r>
    </w:p>
    <w:p>
      <w:pPr>
        <w:spacing w:before="15" w:line="360" w:lineRule="auto"/>
        <w:ind w:firstLine="480" w:firstLineChars="200"/>
        <w:rPr>
          <w:rFonts w:hint="eastAsia"/>
          <w:b/>
          <w:w w:val="95"/>
          <w:sz w:val="28"/>
          <w:lang w:eastAsia="zh-CN"/>
        </w:rPr>
      </w:pPr>
      <w:r>
        <w:rPr>
          <w:rFonts w:hint="eastAsia"/>
          <w:sz w:val="24"/>
          <w:szCs w:val="24"/>
          <w:lang w:val="en-US" w:eastAsia="zh-CN"/>
        </w:rPr>
        <w:t>本项目不设参选保证金。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val="en-US" w:eastAsia="zh-CN"/>
        </w:rPr>
        <w:t>何震洋</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15259232765</w:t>
      </w:r>
      <w:r>
        <w:rPr>
          <w:rFonts w:hint="eastAsia"/>
          <w:b w:val="0"/>
          <w:color w:val="000000" w:themeColor="text1"/>
          <w:spacing w:val="-4"/>
          <w:lang w:eastAsia="zh-CN"/>
        </w:rPr>
        <w:t>。</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r>
        <w:rPr>
          <w:rFonts w:hint="eastAsia"/>
          <w:sz w:val="24"/>
          <w:szCs w:val="24"/>
          <w:lang w:val="en-US" w:eastAsia="zh-CN"/>
        </w:rPr>
        <w:t>承包方近5年已交付使用的与本项目相似业绩履行情况的说明，提供合同复印件并填写上发包方技术人员的姓名、电话及发票复印件等证明资料。</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8800</w:t>
      </w:r>
      <w:r>
        <w:rPr>
          <w:rFonts w:hint="eastAsia"/>
          <w:b/>
          <w:color w:val="FF0000"/>
          <w:lang w:eastAsia="zh-CN"/>
        </w:rPr>
        <w:t>元整（</w:t>
      </w:r>
      <w:r>
        <w:rPr>
          <w:rFonts w:hint="eastAsia"/>
          <w:b/>
          <w:color w:val="FF0000"/>
          <w:lang w:val="en-US" w:eastAsia="zh-CN"/>
        </w:rPr>
        <w:t>含增值</w:t>
      </w:r>
      <w:r>
        <w:rPr>
          <w:rFonts w:hint="eastAsia"/>
          <w:b/>
          <w:color w:val="FF0000"/>
          <w:lang w:eastAsia="zh-CN"/>
        </w:rPr>
        <w:t>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（1）付款条件：到货后，甲方依据本合同约定的质量、数量标准验收合格后，乙方提供合同总额的税率为 13% 的增值税专用发票以及结算所需的各类清单，甲方收到并确认无误后30个工作日支付100%的货款。</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0"/>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0"/>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bookmarkStart w:id="1" w:name="_Toc385779252"/>
      <w:bookmarkStart w:id="2" w:name="_Toc4114"/>
      <w:bookmarkStart w:id="3" w:name="_Toc23434"/>
      <w:bookmarkStart w:id="4" w:name="_Toc10991"/>
      <w:bookmarkStart w:id="5" w:name="_Toc18049"/>
      <w:bookmarkStart w:id="6" w:name="_Toc17959"/>
      <w:bookmarkStart w:id="7" w:name="_Toc20180"/>
      <w:bookmarkStart w:id="8" w:name="_Toc31402"/>
      <w:bookmarkStart w:id="9" w:name="_Toc14171"/>
      <w:bookmarkStart w:id="10" w:name="_Toc31173"/>
      <w:bookmarkStart w:id="11" w:name="_Toc8520"/>
      <w:bookmarkStart w:id="12" w:name="_Toc27787"/>
      <w:bookmarkStart w:id="13" w:name="_Toc2239"/>
      <w:bookmarkStart w:id="14" w:name="_Toc352146655"/>
      <w:bookmarkStart w:id="15" w:name="_Toc20273"/>
      <w:r>
        <w:rPr>
          <w:rFonts w:hint="eastAsia"/>
          <w:b/>
          <w:sz w:val="28"/>
          <w:szCs w:val="28"/>
        </w:rPr>
        <w:t>采购合同</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
        <w:gridCol w:w="3640"/>
        <w:gridCol w:w="1719"/>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5" w:type="dxa"/>
          </w:tcPr>
          <w:p>
            <w:pPr>
              <w:spacing w:line="120" w:lineRule="auto"/>
              <w:rPr>
                <w:sz w:val="24"/>
              </w:rPr>
            </w:pPr>
            <w:r>
              <w:rPr>
                <w:rFonts w:hint="eastAsia"/>
                <w:sz w:val="24"/>
              </w:rPr>
              <w:t xml:space="preserve">                                                                                      </w:t>
            </w:r>
          </w:p>
        </w:tc>
        <w:tc>
          <w:tcPr>
            <w:tcW w:w="3640" w:type="dxa"/>
          </w:tcPr>
          <w:p>
            <w:pPr>
              <w:spacing w:line="120" w:lineRule="auto"/>
              <w:rPr>
                <w:sz w:val="24"/>
              </w:rPr>
            </w:pPr>
          </w:p>
        </w:tc>
        <w:tc>
          <w:tcPr>
            <w:tcW w:w="1719" w:type="dxa"/>
          </w:tcPr>
          <w:p>
            <w:pPr>
              <w:spacing w:line="120" w:lineRule="auto"/>
              <w:rPr>
                <w:sz w:val="24"/>
              </w:rPr>
            </w:pPr>
            <w:r>
              <w:rPr>
                <w:rFonts w:hint="eastAsia"/>
                <w:sz w:val="24"/>
              </w:rPr>
              <w:t>合同编号：</w:t>
            </w:r>
          </w:p>
        </w:tc>
        <w:tc>
          <w:tcPr>
            <w:tcW w:w="2502"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5" w:type="dxa"/>
          </w:tcPr>
          <w:p>
            <w:pPr>
              <w:spacing w:line="120" w:lineRule="auto"/>
              <w:rPr>
                <w:sz w:val="24"/>
              </w:rPr>
            </w:pPr>
            <w:r>
              <w:rPr>
                <w:rFonts w:hint="eastAsia"/>
                <w:sz w:val="24"/>
              </w:rPr>
              <w:t>甲方：</w:t>
            </w:r>
          </w:p>
        </w:tc>
        <w:tc>
          <w:tcPr>
            <w:tcW w:w="3640" w:type="dxa"/>
          </w:tcPr>
          <w:p>
            <w:pPr>
              <w:spacing w:line="120" w:lineRule="auto"/>
              <w:rPr>
                <w:sz w:val="24"/>
              </w:rPr>
            </w:pPr>
            <w:r>
              <w:rPr>
                <w:rFonts w:hint="eastAsia"/>
                <w:sz w:val="24"/>
              </w:rPr>
              <w:t xml:space="preserve"> </w:t>
            </w:r>
            <w:r>
              <w:rPr>
                <w:rFonts w:hint="eastAsia"/>
                <w:sz w:val="24"/>
                <w:lang w:val="en-US" w:eastAsia="zh-CN"/>
              </w:rPr>
              <w:t>腾龙芳烃</w:t>
            </w:r>
            <w:r>
              <w:rPr>
                <w:rFonts w:hint="eastAsia"/>
                <w:sz w:val="24"/>
                <w:lang w:eastAsia="zh-CN"/>
              </w:rPr>
              <w:t>（漳州）有限公司</w:t>
            </w:r>
            <w:r>
              <w:rPr>
                <w:rFonts w:hint="eastAsia"/>
                <w:sz w:val="24"/>
              </w:rPr>
              <w:t xml:space="preserve">                                     </w:t>
            </w:r>
          </w:p>
        </w:tc>
        <w:tc>
          <w:tcPr>
            <w:tcW w:w="1719" w:type="dxa"/>
          </w:tcPr>
          <w:p>
            <w:pPr>
              <w:spacing w:line="120" w:lineRule="auto"/>
              <w:rPr>
                <w:sz w:val="24"/>
              </w:rPr>
            </w:pPr>
            <w:r>
              <w:rPr>
                <w:rFonts w:hint="eastAsia"/>
                <w:sz w:val="24"/>
              </w:rPr>
              <w:t>签订地点：</w:t>
            </w:r>
          </w:p>
        </w:tc>
        <w:tc>
          <w:tcPr>
            <w:tcW w:w="2502"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5" w:type="dxa"/>
          </w:tcPr>
          <w:p>
            <w:pPr>
              <w:spacing w:line="120" w:lineRule="auto"/>
              <w:rPr>
                <w:sz w:val="24"/>
              </w:rPr>
            </w:pPr>
            <w:r>
              <w:rPr>
                <w:rFonts w:hint="eastAsia"/>
                <w:sz w:val="24"/>
              </w:rPr>
              <w:t>乙方：</w:t>
            </w:r>
          </w:p>
        </w:tc>
        <w:tc>
          <w:tcPr>
            <w:tcW w:w="3640" w:type="dxa"/>
          </w:tcPr>
          <w:p>
            <w:pPr>
              <w:spacing w:line="120" w:lineRule="auto"/>
              <w:rPr>
                <w:sz w:val="24"/>
              </w:rPr>
            </w:pPr>
          </w:p>
        </w:tc>
        <w:tc>
          <w:tcPr>
            <w:tcW w:w="1719" w:type="dxa"/>
          </w:tcPr>
          <w:p>
            <w:pPr>
              <w:spacing w:line="120" w:lineRule="auto"/>
              <w:rPr>
                <w:sz w:val="24"/>
              </w:rPr>
            </w:pPr>
            <w:r>
              <w:rPr>
                <w:rFonts w:hint="eastAsia"/>
                <w:sz w:val="24"/>
              </w:rPr>
              <w:t>签订日期：</w:t>
            </w:r>
          </w:p>
        </w:tc>
        <w:tc>
          <w:tcPr>
            <w:tcW w:w="2502"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3413"/>
        <w:gridCol w:w="975"/>
        <w:gridCol w:w="16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939" w:type="dxa"/>
            <w:vAlign w:val="center"/>
          </w:tcPr>
          <w:p>
            <w:pPr>
              <w:spacing w:line="120" w:lineRule="auto"/>
              <w:jc w:val="center"/>
              <w:rPr>
                <w:b/>
                <w:sz w:val="24"/>
              </w:rPr>
            </w:pPr>
            <w:r>
              <w:rPr>
                <w:rFonts w:hint="eastAsia"/>
                <w:b/>
                <w:sz w:val="24"/>
              </w:rPr>
              <w:t>产品名称</w:t>
            </w:r>
          </w:p>
        </w:tc>
        <w:tc>
          <w:tcPr>
            <w:tcW w:w="3413" w:type="dxa"/>
            <w:vAlign w:val="center"/>
          </w:tcPr>
          <w:p>
            <w:pPr>
              <w:spacing w:line="120" w:lineRule="auto"/>
              <w:jc w:val="center"/>
              <w:rPr>
                <w:b/>
                <w:sz w:val="24"/>
              </w:rPr>
            </w:pPr>
            <w:r>
              <w:rPr>
                <w:rFonts w:hint="eastAsia"/>
                <w:b/>
                <w:sz w:val="24"/>
              </w:rPr>
              <w:t>规格型号</w:t>
            </w:r>
          </w:p>
        </w:tc>
        <w:tc>
          <w:tcPr>
            <w:tcW w:w="975" w:type="dxa"/>
            <w:vAlign w:val="center"/>
          </w:tcPr>
          <w:p>
            <w:pPr>
              <w:spacing w:line="120" w:lineRule="auto"/>
              <w:jc w:val="center"/>
              <w:rPr>
                <w:b/>
                <w:sz w:val="24"/>
              </w:rPr>
            </w:pPr>
            <w:r>
              <w:rPr>
                <w:rFonts w:hint="eastAsia"/>
                <w:b/>
                <w:sz w:val="24"/>
              </w:rPr>
              <w:t>数量</w:t>
            </w:r>
          </w:p>
        </w:tc>
        <w:tc>
          <w:tcPr>
            <w:tcW w:w="1600" w:type="dxa"/>
            <w:vAlign w:val="center"/>
          </w:tcPr>
          <w:p>
            <w:pPr>
              <w:spacing w:line="120" w:lineRule="auto"/>
              <w:jc w:val="center"/>
              <w:rPr>
                <w:b/>
                <w:sz w:val="24"/>
              </w:rPr>
            </w:pPr>
            <w:r>
              <w:rPr>
                <w:rFonts w:hint="eastAsia"/>
                <w:b/>
                <w:sz w:val="24"/>
              </w:rPr>
              <w:t>单价/元</w:t>
            </w:r>
          </w:p>
        </w:tc>
        <w:tc>
          <w:tcPr>
            <w:tcW w:w="1371"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939" w:type="dxa"/>
            <w:vAlign w:val="center"/>
          </w:tcPr>
          <w:p>
            <w:pPr>
              <w:spacing w:line="120" w:lineRule="auto"/>
              <w:jc w:val="center"/>
              <w:rPr>
                <w:rFonts w:hint="default" w:eastAsia="宋体"/>
                <w:sz w:val="24"/>
                <w:lang w:val="en-US" w:eastAsia="zh-CN"/>
              </w:rPr>
            </w:pPr>
            <w:permStart w:id="0" w:edGrp="everyone"/>
            <w:r>
              <w:rPr>
                <w:rFonts w:hint="eastAsia"/>
                <w:sz w:val="24"/>
                <w:lang w:val="en-US" w:eastAsia="zh-CN"/>
              </w:rPr>
              <w:t>锅炉照明电源箱</w:t>
            </w:r>
          </w:p>
        </w:tc>
        <w:tc>
          <w:tcPr>
            <w:tcW w:w="3413" w:type="dxa"/>
            <w:vAlign w:val="center"/>
          </w:tcPr>
          <w:p>
            <w:pPr>
              <w:spacing w:line="120" w:lineRule="auto"/>
              <w:jc w:val="center"/>
              <w:rPr>
                <w:rFonts w:hint="default" w:eastAsia="宋体"/>
                <w:sz w:val="24"/>
                <w:lang w:val="en-US" w:eastAsia="zh-CN"/>
              </w:rPr>
            </w:pPr>
            <w:r>
              <w:rPr>
                <w:rFonts w:hint="default" w:eastAsia="宋体"/>
                <w:sz w:val="24"/>
                <w:lang w:val="en-US" w:eastAsia="zh-CN"/>
              </w:rPr>
              <w:t>箱体为户外型、不锈钢材质、柜门采用手柄锁，外形尺寸：30cm*55cm*14cm、安装固定尺寸：34cm*40cm</w:t>
            </w:r>
            <w:r>
              <w:rPr>
                <w:rFonts w:hint="eastAsia"/>
                <w:sz w:val="24"/>
                <w:lang w:val="en-US" w:eastAsia="zh-CN"/>
              </w:rPr>
              <w:t>/</w:t>
            </w:r>
          </w:p>
          <w:p>
            <w:pPr>
              <w:spacing w:line="120" w:lineRule="auto"/>
              <w:jc w:val="center"/>
              <w:rPr>
                <w:rFonts w:hint="default" w:eastAsia="宋体"/>
                <w:sz w:val="24"/>
                <w:lang w:val="en-US" w:eastAsia="zh-CN"/>
              </w:rPr>
            </w:pPr>
            <w:r>
              <w:rPr>
                <w:rFonts w:hint="default" w:eastAsia="宋体"/>
                <w:sz w:val="24"/>
                <w:lang w:val="en-US" w:eastAsia="zh-CN"/>
              </w:rPr>
              <w:t>其他见规格书</w:t>
            </w:r>
          </w:p>
        </w:tc>
        <w:tc>
          <w:tcPr>
            <w:tcW w:w="975" w:type="dxa"/>
            <w:vAlign w:val="center"/>
          </w:tcPr>
          <w:p>
            <w:pPr>
              <w:spacing w:line="120" w:lineRule="auto"/>
              <w:jc w:val="center"/>
              <w:rPr>
                <w:rFonts w:hint="default" w:eastAsia="宋体"/>
                <w:sz w:val="24"/>
                <w:lang w:val="en-US" w:eastAsia="zh-CN"/>
              </w:rPr>
            </w:pPr>
            <w:r>
              <w:rPr>
                <w:rFonts w:hint="eastAsia"/>
                <w:sz w:val="24"/>
                <w:lang w:val="en-US" w:eastAsia="zh-CN"/>
              </w:rPr>
              <w:t>16</w:t>
            </w:r>
          </w:p>
        </w:tc>
        <w:tc>
          <w:tcPr>
            <w:tcW w:w="1600" w:type="dxa"/>
            <w:vAlign w:val="center"/>
          </w:tcPr>
          <w:p>
            <w:pPr>
              <w:spacing w:line="120" w:lineRule="auto"/>
              <w:jc w:val="center"/>
              <w:rPr>
                <w:rFonts w:hint="default" w:eastAsia="宋体"/>
                <w:sz w:val="24"/>
                <w:lang w:val="en-US" w:eastAsia="zh-CN"/>
              </w:rPr>
            </w:pPr>
          </w:p>
        </w:tc>
        <w:tc>
          <w:tcPr>
            <w:tcW w:w="1371" w:type="dxa"/>
            <w:vAlign w:val="center"/>
          </w:tcPr>
          <w:p>
            <w:pPr>
              <w:spacing w:line="120" w:lineRule="auto"/>
              <w:jc w:val="center"/>
              <w:rPr>
                <w:rFonts w:hint="default" w:eastAsia="宋体"/>
                <w:sz w:val="24"/>
                <w:lang w:val="en-US" w:eastAsia="zh-CN"/>
              </w:rPr>
            </w:pPr>
          </w:p>
        </w:tc>
      </w:tr>
      <w:perm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939" w:type="dxa"/>
            <w:vAlign w:val="center"/>
          </w:tcPr>
          <w:p>
            <w:pPr>
              <w:spacing w:line="120" w:lineRule="auto"/>
              <w:jc w:val="center"/>
              <w:rPr>
                <w:sz w:val="24"/>
              </w:rPr>
            </w:pPr>
            <w:r>
              <w:rPr>
                <w:rFonts w:hint="eastAsia"/>
                <w:sz w:val="24"/>
              </w:rPr>
              <w:t>合同金额合计</w:t>
            </w:r>
          </w:p>
        </w:tc>
        <w:tc>
          <w:tcPr>
            <w:tcW w:w="7359" w:type="dxa"/>
            <w:gridSpan w:val="4"/>
            <w:vAlign w:val="center"/>
          </w:tcPr>
          <w:p>
            <w:pPr>
              <w:spacing w:line="120" w:lineRule="auto"/>
              <w:jc w:val="center"/>
              <w:rPr>
                <w:sz w:val="24"/>
              </w:rPr>
            </w:pPr>
            <w:permStart w:id="1" w:edGrp="everyone"/>
            <w:r>
              <w:rPr>
                <w:rFonts w:hint="eastAsia"/>
                <w:sz w:val="24"/>
              </w:rPr>
              <w:t xml:space="preserve">    </w:t>
            </w:r>
            <w:permEnd w:id="1"/>
            <w:r>
              <w:rPr>
                <w:rFonts w:hint="eastAsia"/>
                <w:sz w:val="24"/>
              </w:rPr>
              <w:t xml:space="preserve">（大写） </w:t>
            </w:r>
            <w:permStart w:id="2" w:edGrp="everyone"/>
            <w:r>
              <w:rPr>
                <w:rFonts w:hint="eastAsia"/>
                <w:sz w:val="24"/>
              </w:rPr>
              <w:t xml:space="preserve">  </w:t>
            </w:r>
            <w:permEnd w:id="2"/>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lang w:eastAsia="zh-CN"/>
        </w:rPr>
      </w:pPr>
      <w:r>
        <w:rPr>
          <w:rFonts w:hint="eastAsia"/>
          <w:sz w:val="24"/>
          <w:lang w:val="en-US" w:eastAsia="zh-CN"/>
        </w:rPr>
        <w:t>3.2</w:t>
      </w:r>
      <w:r>
        <w:rPr>
          <w:rFonts w:hint="eastAsia"/>
          <w:sz w:val="24"/>
          <w:lang w:eastAsia="zh-CN"/>
        </w:rPr>
        <w:t>到货后，甲方依据本合同约定的质量、数量标准验收合格后，乙方提供合同总额的税率为 13% 的增值税专用发票以及结算所需的各类清单，甲方收到并确认无误后30个工作日支付100%的货款。</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ind w:firstLine="480" w:firstLineChars="200"/>
        <w:rPr>
          <w:sz w:val="24"/>
        </w:rPr>
      </w:pP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color w:val="FF0000"/>
          <w:sz w:val="24"/>
          <w:u w:val="single"/>
        </w:rPr>
        <w:t xml:space="preserve">   </w:t>
      </w:r>
      <w:r>
        <w:rPr>
          <w:rFonts w:hint="eastAsia"/>
          <w:sz w:val="24"/>
        </w:rPr>
        <w:t>%向甲方支付违约金，逾期超过</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甲方：腾龙芳烃（漳州）有限公司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 xml:space="preserve">联系地址：福建省漳州市漳州古雷经济开发区腾龙路84号 </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val="en-US" w:eastAsia="zh-CN"/>
              </w:rPr>
              <w:t>zyhe</w:t>
            </w:r>
            <w:r>
              <w:rPr>
                <w:rFonts w:hint="eastAsia" w:asciiTheme="majorEastAsia" w:hAnsiTheme="majorEastAsia" w:eastAsiaTheme="majorEastAsia"/>
                <w:sz w:val="21"/>
                <w:szCs w:val="21"/>
                <w:lang w:eastAsia="zh-CN"/>
              </w:rPr>
              <w:t>@fhcpec.com.cn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eastAsia" w:eastAsia="宋体"/>
                <w:sz w:val="24"/>
                <w:lang w:eastAsia="zh-CN"/>
              </w:rPr>
            </w:pPr>
            <w:r>
              <w:rPr>
                <w:rFonts w:hint="eastAsia"/>
                <w:sz w:val="24"/>
              </w:rPr>
              <w:t>委托代理人：</w:t>
            </w:r>
            <w:r>
              <w:rPr>
                <w:rFonts w:hint="eastAsia"/>
                <w:sz w:val="24"/>
                <w:lang w:eastAsia="zh-CN"/>
              </w:rPr>
              <w:t>何震洋</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电话：0596-6311083</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eastAsia" w:ascii="Times New Roman"/>
          <w:b/>
          <w:bCs/>
          <w:lang w:val="en-US" w:eastAsia="zh-CN"/>
        </w:rPr>
      </w:pPr>
    </w:p>
    <w:p>
      <w:pPr>
        <w:pStyle w:val="20"/>
        <w:rPr>
          <w:rFonts w:hint="default" w:ascii="Times New Roman"/>
          <w:b/>
          <w:bCs/>
          <w:lang w:val="en-US" w:eastAsia="zh-CN"/>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val="en-US" w:eastAsia="zh-CN"/>
        </w:rPr>
        <w:t>锅炉照明电源箱</w:t>
      </w:r>
      <w:r>
        <w:rPr>
          <w:rFonts w:ascii="方正小标宋简体" w:hAnsi="方正小标宋简体" w:eastAsia="方正小标宋简体" w:cs="方正小标宋简体"/>
          <w:b/>
          <w:color w:val="000000" w:themeColor="text1"/>
          <w:sz w:val="44"/>
          <w:szCs w:val="44"/>
          <w:lang w:eastAsia="zh-CN"/>
        </w:rPr>
        <w:t>采购项目</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default" w:ascii="Times New Roman" w:hAnsi="Times New Roman"/>
          <w:b/>
          <w:bCs/>
          <w:color w:val="FF0000"/>
          <w:w w:val="95"/>
          <w:sz w:val="32"/>
          <w:lang w:val="en-US" w:eastAsia="zh-CN"/>
        </w:rPr>
        <w:t>3</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 xml:space="preserve"> </w:t>
      </w:r>
      <w:r>
        <w:rPr>
          <w:rFonts w:hint="eastAsia" w:ascii="Times New Roman" w:hAnsi="Times New Roman"/>
          <w:b/>
          <w:bCs/>
          <w:color w:val="FF0000"/>
          <w:w w:val="95"/>
          <w:sz w:val="32"/>
          <w:lang w:val="en-US" w:eastAsia="zh-CN"/>
        </w:rPr>
        <w:t>6</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5.技术文件与商务文件分开密封包装后一起邮寄，参选文件均需提供</w:t>
      </w:r>
      <w:r>
        <w:rPr>
          <w:rFonts w:hint="eastAsia" w:cs="Times New Roman"/>
          <w:b/>
          <w:color w:val="C00000"/>
          <w:sz w:val="24"/>
          <w:szCs w:val="24"/>
          <w:lang w:eastAsia="zh-CN"/>
        </w:rPr>
        <w:t>U盘电子扫描文档</w:t>
      </w:r>
      <w:r>
        <w:rPr>
          <w:rFonts w:hint="eastAsia" w:cs="Times New Roman"/>
          <w:bCs w:val="0"/>
          <w:color w:val="C00000"/>
          <w:sz w:val="24"/>
          <w:szCs w:val="24"/>
          <w:lang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6.在外层包封上应写明参选人的名称与地址、邮政编码，以便参选出现逾期送达时能原封退回。具体样式如下：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7.以下文件中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资质业绩证明</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pStyle w:val="2"/>
      </w:pPr>
    </w:p>
    <w:p>
      <w:pPr>
        <w:pStyle w:val="2"/>
      </w:pPr>
    </w:p>
    <w:p>
      <w:pPr>
        <w:pStyle w:val="2"/>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r>
        <w:rPr>
          <w:rFonts w:hint="eastAsia"/>
          <w:b/>
          <w:bCs/>
          <w:sz w:val="36"/>
          <w:szCs w:val="36"/>
          <w:lang w:eastAsia="zh-CN"/>
        </w:rPr>
        <w:t>资质业绩证明文件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锅炉照明电源箱</w:t>
      </w:r>
      <w:r>
        <w:rPr>
          <w:rFonts w:hint="eastAsia" w:ascii="Times New Roman" w:hAnsi="ˎ̥"/>
          <w:sz w:val="28"/>
          <w:szCs w:val="28"/>
          <w:lang w:eastAsia="zh-CN"/>
        </w:rPr>
        <w:t>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锅炉照明电源箱</w:t>
      </w:r>
      <w:r>
        <w:rPr>
          <w:rFonts w:hint="eastAsia"/>
          <w:b/>
          <w:bCs/>
          <w:sz w:val="24"/>
          <w:szCs w:val="24"/>
          <w:lang w:eastAsia="zh-CN"/>
        </w:rPr>
        <w:t>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3272"/>
        <w:gridCol w:w="1838"/>
        <w:gridCol w:w="1223"/>
        <w:gridCol w:w="827"/>
        <w:gridCol w:w="1050"/>
        <w:gridCol w:w="1321"/>
      </w:tblGrid>
      <w:tr>
        <w:tblPrEx>
          <w:tblCellMar>
            <w:top w:w="15" w:type="dxa"/>
            <w:left w:w="15" w:type="dxa"/>
            <w:bottom w:w="15" w:type="dxa"/>
            <w:right w:w="15" w:type="dxa"/>
          </w:tblCellMar>
        </w:tblPrEx>
        <w:trPr>
          <w:trHeight w:val="645"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28"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锅炉照明电源箱</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箱体为户外型、不锈钢材质、柜门采用手柄锁，外形尺寸：30cm*55cm*14cm、安装固定尺寸：34cm*40cm/</w:t>
            </w:r>
          </w:p>
          <w:p>
            <w:pPr>
              <w:widowControl/>
              <w:jc w:val="center"/>
              <w:textAlignment w:val="center"/>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其他见规格书</w:t>
            </w:r>
          </w:p>
        </w:tc>
        <w:tc>
          <w:tcPr>
            <w:tcW w:w="12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个</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cs="宋体"/>
                <w:color w:val="000000"/>
                <w:kern w:val="0"/>
                <w:sz w:val="18"/>
                <w:szCs w:val="18"/>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62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价格说明：</w:t>
            </w:r>
          </w:p>
          <w:p>
            <w:pPr>
              <w:numPr>
                <w:ilvl w:val="255"/>
                <w:numId w:val="0"/>
              </w:numPr>
              <w:spacing w:line="500" w:lineRule="exact"/>
              <w:rPr>
                <w:rFonts w:hint="eastAsia"/>
                <w:b w:val="0"/>
                <w:bCs w:val="0"/>
                <w:sz w:val="24"/>
                <w:lang w:val="en-US" w:eastAsia="zh-CN"/>
              </w:rPr>
            </w:pPr>
            <w:r>
              <w:rPr>
                <w:rFonts w:hint="eastAsia"/>
                <w:b w:val="0"/>
                <w:bCs w:val="0"/>
                <w:sz w:val="24"/>
                <w:lang w:val="en-US" w:eastAsia="zh-CN"/>
              </w:rPr>
              <w:t>1、报价单随附“锅炉照明电源箱”询价说明：</w:t>
            </w:r>
          </w:p>
          <w:p>
            <w:pPr>
              <w:numPr>
                <w:ilvl w:val="0"/>
                <w:numId w:val="0"/>
              </w:numPr>
              <w:spacing w:line="500" w:lineRule="exact"/>
              <w:ind w:leftChars="0"/>
              <w:rPr>
                <w:rFonts w:hint="eastAsia"/>
                <w:lang w:val="en-US" w:eastAsia="zh-CN"/>
              </w:rPr>
            </w:pPr>
            <w:r>
              <w:rPr>
                <w:rFonts w:hint="eastAsia"/>
                <w:b w:val="0"/>
                <w:bCs w:val="0"/>
                <w:sz w:val="24"/>
                <w:lang w:val="en-US" w:eastAsia="zh-CN"/>
              </w:rPr>
              <w:t>1.1具体事宜以请购规格型号和技术协议为准。</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w:t>
            </w:r>
            <w:r>
              <w:rPr>
                <w:rFonts w:hint="eastAsia"/>
                <w:b w:val="0"/>
                <w:bCs w:val="0"/>
                <w:sz w:val="24"/>
                <w:u w:val="single"/>
                <w:shd w:val="clear" w:color="FFFFFF" w:fill="D9D9D9"/>
                <w:lang w:val="en-US" w:eastAsia="zh-CN"/>
              </w:rPr>
              <w:t xml:space="preserve">  </w:t>
            </w:r>
            <w:r>
              <w:rPr>
                <w:rFonts w:hint="eastAsia" w:ascii="宋体" w:hAnsi="宋体"/>
                <w:b w:val="0"/>
                <w:bCs w:val="0"/>
                <w:sz w:val="24"/>
                <w:u w:val="single"/>
                <w:shd w:val="clear" w:color="FFFFFF" w:fill="D9D9D9"/>
              </w:rPr>
              <w:t xml:space="preserve">%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w:t>
            </w:r>
            <w:r>
              <w:rPr>
                <w:rFonts w:hint="eastAsia" w:ascii="宋体" w:hAnsi="宋体"/>
                <w:b w:val="0"/>
                <w:bCs w:val="0"/>
                <w:sz w:val="24"/>
                <w:lang w:eastAsia="zh-CN"/>
              </w:rPr>
              <w:t xml:space="preserve">到货后，甲方依据本合同约定的质量、数量标准验收合格后，乙方提供合同总额的税率为 </w:t>
            </w:r>
            <w:r>
              <w:rPr>
                <w:rFonts w:hint="eastAsia"/>
                <w:b w:val="0"/>
                <w:bCs w:val="0"/>
                <w:sz w:val="24"/>
                <w:lang w:val="en-US" w:eastAsia="zh-CN"/>
              </w:rPr>
              <w:t xml:space="preserve">  </w:t>
            </w:r>
            <w:r>
              <w:rPr>
                <w:rFonts w:hint="eastAsia" w:ascii="宋体" w:hAnsi="宋体"/>
                <w:b w:val="0"/>
                <w:bCs w:val="0"/>
                <w:sz w:val="24"/>
                <w:lang w:eastAsia="zh-CN"/>
              </w:rPr>
              <w:t>% 的增值税专用发票以及结算所需的各类清单，甲方收到并确认无误后30个工作日支付100%的货款</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w:t>
            </w:r>
            <w:r>
              <w:rPr>
                <w:rFonts w:hint="eastAsia"/>
                <w:b w:val="0"/>
                <w:bCs w:val="0"/>
                <w:sz w:val="24"/>
                <w:u w:val="single"/>
                <w:lang w:val="en-US" w:eastAsia="zh-CN"/>
              </w:rPr>
              <w:t xml:space="preserve">         </w:t>
            </w:r>
            <w:r>
              <w:rPr>
                <w:rFonts w:hint="eastAsia" w:ascii="宋体" w:hAnsi="宋体"/>
                <w:b w:val="0"/>
                <w:bCs w:val="0"/>
                <w:sz w:val="24"/>
                <w:u w:val="single"/>
              </w:rPr>
              <w:t xml:space="preserve">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p>
      <w:pPr>
        <w:pStyle w:val="2"/>
        <w:rPr>
          <w:rFonts w:hint="eastAsia"/>
          <w:sz w:val="28"/>
          <w:u w:val="single"/>
          <w:lang w:eastAsia="zh-CN"/>
        </w:rPr>
      </w:pPr>
    </w:p>
    <w:p>
      <w:pPr>
        <w:pStyle w:val="2"/>
        <w:rPr>
          <w:rFonts w:hint="eastAsia"/>
          <w:sz w:val="28"/>
          <w:u w:val="single"/>
          <w:lang w:eastAsia="zh-CN"/>
        </w:rPr>
      </w:pPr>
    </w:p>
    <w:p>
      <w:pPr>
        <w:pStyle w:val="2"/>
        <w:rPr>
          <w:rFonts w:hint="eastAsia"/>
          <w:sz w:val="28"/>
          <w:u w:val="single"/>
          <w:lang w:eastAsia="zh-CN"/>
        </w:rPr>
      </w:pPr>
    </w:p>
    <w:p>
      <w:pPr>
        <w:pStyle w:val="2"/>
        <w:rPr>
          <w:rFonts w:hint="default"/>
          <w:sz w:val="28"/>
          <w:u w:val="single"/>
          <w:lang w:val="en-US"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小标宋简体">
    <w:altName w:val="微软雅黑"/>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81A08AE"/>
    <w:rsid w:val="081D6F74"/>
    <w:rsid w:val="087D5A4F"/>
    <w:rsid w:val="08D1141D"/>
    <w:rsid w:val="09130765"/>
    <w:rsid w:val="09CF6571"/>
    <w:rsid w:val="0B296DE2"/>
    <w:rsid w:val="0B721453"/>
    <w:rsid w:val="0D0126E0"/>
    <w:rsid w:val="0EAE2D72"/>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A3C6CD2"/>
    <w:rsid w:val="1A9C22EF"/>
    <w:rsid w:val="1B6947A7"/>
    <w:rsid w:val="1C7D47AE"/>
    <w:rsid w:val="1CC40373"/>
    <w:rsid w:val="1E085A14"/>
    <w:rsid w:val="1E657D90"/>
    <w:rsid w:val="1ED93E25"/>
    <w:rsid w:val="1F351ED7"/>
    <w:rsid w:val="1FF43DDB"/>
    <w:rsid w:val="20625E24"/>
    <w:rsid w:val="21156B08"/>
    <w:rsid w:val="21933AA2"/>
    <w:rsid w:val="21BE0F4D"/>
    <w:rsid w:val="22B76993"/>
    <w:rsid w:val="22E07B9F"/>
    <w:rsid w:val="231F5346"/>
    <w:rsid w:val="23224AF6"/>
    <w:rsid w:val="2333574E"/>
    <w:rsid w:val="2414680F"/>
    <w:rsid w:val="25BF356F"/>
    <w:rsid w:val="25C95B03"/>
    <w:rsid w:val="25DB0C2D"/>
    <w:rsid w:val="267F6210"/>
    <w:rsid w:val="269469E7"/>
    <w:rsid w:val="26EF5299"/>
    <w:rsid w:val="27981585"/>
    <w:rsid w:val="27E149AB"/>
    <w:rsid w:val="27EE0826"/>
    <w:rsid w:val="280F47C0"/>
    <w:rsid w:val="2998140D"/>
    <w:rsid w:val="29FC3B14"/>
    <w:rsid w:val="2A056A4F"/>
    <w:rsid w:val="2B11792E"/>
    <w:rsid w:val="2CD63F14"/>
    <w:rsid w:val="2E666BF4"/>
    <w:rsid w:val="2F724BD0"/>
    <w:rsid w:val="2FC5779A"/>
    <w:rsid w:val="306A51FE"/>
    <w:rsid w:val="308C67A6"/>
    <w:rsid w:val="31C54755"/>
    <w:rsid w:val="31D23053"/>
    <w:rsid w:val="3216608C"/>
    <w:rsid w:val="322152B0"/>
    <w:rsid w:val="328F13DA"/>
    <w:rsid w:val="345C4E76"/>
    <w:rsid w:val="34CE14C6"/>
    <w:rsid w:val="34D84CEC"/>
    <w:rsid w:val="35DC515B"/>
    <w:rsid w:val="37AF5AB7"/>
    <w:rsid w:val="38B844F1"/>
    <w:rsid w:val="399C3DF7"/>
    <w:rsid w:val="39E568DF"/>
    <w:rsid w:val="3A387F18"/>
    <w:rsid w:val="3AC225C0"/>
    <w:rsid w:val="3B1C3371"/>
    <w:rsid w:val="3C5D58F8"/>
    <w:rsid w:val="3CAE3A33"/>
    <w:rsid w:val="3CC23198"/>
    <w:rsid w:val="3DDF4815"/>
    <w:rsid w:val="3FE669E5"/>
    <w:rsid w:val="42C84A21"/>
    <w:rsid w:val="44B33DBE"/>
    <w:rsid w:val="44B70186"/>
    <w:rsid w:val="459C39D0"/>
    <w:rsid w:val="462A54F2"/>
    <w:rsid w:val="486C4718"/>
    <w:rsid w:val="48BC1E8C"/>
    <w:rsid w:val="4A1E5FD7"/>
    <w:rsid w:val="4A286FFC"/>
    <w:rsid w:val="4A344C53"/>
    <w:rsid w:val="4A6A5207"/>
    <w:rsid w:val="4B3B68BB"/>
    <w:rsid w:val="4B410375"/>
    <w:rsid w:val="4B876203"/>
    <w:rsid w:val="50F63E28"/>
    <w:rsid w:val="5221007F"/>
    <w:rsid w:val="52926B5A"/>
    <w:rsid w:val="52B7258B"/>
    <w:rsid w:val="52F74B88"/>
    <w:rsid w:val="53047819"/>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AB675C"/>
    <w:rsid w:val="6BCB034D"/>
    <w:rsid w:val="6C0E1756"/>
    <w:rsid w:val="6C2B2406"/>
    <w:rsid w:val="6D1B5A5A"/>
    <w:rsid w:val="6E0F2E14"/>
    <w:rsid w:val="6E71313D"/>
    <w:rsid w:val="6F1E141D"/>
    <w:rsid w:val="6F5354F8"/>
    <w:rsid w:val="7053719B"/>
    <w:rsid w:val="707F0E75"/>
    <w:rsid w:val="71D648EC"/>
    <w:rsid w:val="727810B8"/>
    <w:rsid w:val="7293546A"/>
    <w:rsid w:val="72E05B2C"/>
    <w:rsid w:val="73F81307"/>
    <w:rsid w:val="740A2BDE"/>
    <w:rsid w:val="751839E0"/>
    <w:rsid w:val="756178E9"/>
    <w:rsid w:val="75A1093B"/>
    <w:rsid w:val="75BE7C69"/>
    <w:rsid w:val="76274F93"/>
    <w:rsid w:val="774B6ABC"/>
    <w:rsid w:val="78632A79"/>
    <w:rsid w:val="79670CA0"/>
    <w:rsid w:val="79EB3F2F"/>
    <w:rsid w:val="79FD3C4B"/>
    <w:rsid w:val="7A1D7427"/>
    <w:rsid w:val="7B11789E"/>
    <w:rsid w:val="7CEE7A95"/>
    <w:rsid w:val="7D250FF6"/>
    <w:rsid w:val="7D602708"/>
    <w:rsid w:val="7DC94A0A"/>
    <w:rsid w:val="7DFA3729"/>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23</Pages>
  <Words>9200</Words>
  <Characters>9662</Characters>
  <Lines>79</Lines>
  <Paragraphs>22</Paragraphs>
  <TotalTime>52</TotalTime>
  <ScaleCrop>false</ScaleCrop>
  <LinksUpToDate>false</LinksUpToDate>
  <CharactersWithSpaces>10590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2023-07-11T02:49:51Z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