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2023年仪表团队50个防爆操作柱采购发包</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QG2304170056</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3年仪表团队50个防爆操作柱采购</w:t>
      </w:r>
      <w:r>
        <w:rPr>
          <w:rFonts w:hint="eastAsia"/>
          <w:color w:val="000000" w:themeColor="text1"/>
          <w:u w:val="single"/>
          <w:lang w:eastAsia="zh-CN"/>
        </w:rPr>
        <w:t>发包（项目编号：QG2304170056）</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项目名称：福建福海创石油化工有限公司2023年仪表团队50个防爆操作柱</w:t>
      </w:r>
      <w:r>
        <w:rPr>
          <w:rFonts w:hint="eastAsia"/>
          <w:sz w:val="24"/>
          <w:szCs w:val="24"/>
          <w:lang w:val="en-US" w:eastAsia="zh-CN"/>
        </w:rPr>
        <w:t>采购</w:t>
      </w:r>
      <w:r>
        <w:rPr>
          <w:rFonts w:hint="eastAsia"/>
          <w:sz w:val="24"/>
          <w:szCs w:val="24"/>
          <w:lang w:eastAsia="zh-CN"/>
        </w:rPr>
        <w:t>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eastAsia="zh-CN"/>
        </w:rPr>
        <w:t>参</w:t>
      </w:r>
      <w:r>
        <w:rPr>
          <w:rFonts w:hint="eastAsia"/>
          <w:sz w:val="24"/>
          <w:szCs w:val="24"/>
          <w:lang w:eastAsia="zh-CN"/>
        </w:rPr>
        <w:t>选人必须对同一个合同包中的全部物资进行参选，不得仅对合同包中的部分物资进行参选，否则其比选文件将被拒绝。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sz w:val="24"/>
          <w:szCs w:val="24"/>
          <w:lang w:eastAsia="zh-CN"/>
        </w:rPr>
        <w:t>3.</w:t>
      </w:r>
      <w:r>
        <w:rPr>
          <w:rFonts w:hint="eastAsia"/>
          <w:sz w:val="24"/>
          <w:szCs w:val="24"/>
          <w:lang w:val="en-US" w:eastAsia="zh-CN"/>
        </w:rPr>
        <w:t>采购品牌及内容</w:t>
      </w:r>
      <w:bookmarkStart w:id="1" w:name="_GoBack"/>
      <w:bookmarkEnd w:id="1"/>
      <w:r>
        <w:rPr>
          <w:rFonts w:hint="eastAsia"/>
          <w:sz w:val="24"/>
          <w:szCs w:val="24"/>
          <w:lang w:val="en-US" w:eastAsia="zh-CN"/>
        </w:rPr>
        <w:t>：华荣科技股份有限公司、新黎明防爆股份有限公司、沈阳北方防爆股份有限公司、创正电气、库柏电气（上海）、浙江中兴防爆器材有限公司、合隆防爆电气有限公司，其余内容请详看附件1《采购清单》。</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sz w:val="24"/>
          <w:szCs w:val="24"/>
          <w:lang w:val="en-US" w:eastAsia="zh-CN"/>
        </w:rPr>
        <w:t>4.比选控制价：4.66万元（不含税）。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日至</w:t>
      </w:r>
      <w:r>
        <w:rPr>
          <w:rFonts w:hint="eastAsia"/>
          <w:color w:val="000000" w:themeColor="text1"/>
          <w:sz w:val="24"/>
          <w:szCs w:val="24"/>
          <w:lang w:val="en-US" w:eastAsia="zh-CN"/>
        </w:rPr>
        <w:t>23</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技术联系人：唐凤玉 电话：15059611803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fytang@fhcpec.com.cn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sz w:val="24"/>
          <w:szCs w:val="24"/>
          <w:lang w:eastAsia="zh-CN"/>
        </w:rPr>
      </w:pPr>
    </w:p>
    <w:p>
      <w:pPr>
        <w:keepNext w:val="0"/>
        <w:keepLines w:val="0"/>
        <w:pageBreakBefore w:val="0"/>
        <w:widowControl w:val="0"/>
        <w:kinsoku/>
        <w:wordWrap/>
        <w:overflowPunct/>
        <w:topLinePunct w:val="0"/>
        <w:bidi w:val="0"/>
        <w:snapToGrid/>
        <w:spacing w:line="360" w:lineRule="auto"/>
        <w:rPr>
          <w:lang w:eastAsia="zh-CN"/>
        </w:rPr>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202</w:t>
      </w:r>
      <w:r>
        <w:rPr>
          <w:rFonts w:hint="eastAsia"/>
          <w:color w:val="000000" w:themeColor="text1"/>
          <w:lang w:val="en-US" w:eastAsia="zh-CN"/>
        </w:rPr>
        <w:t>3年仪表团队50个防爆操作柱采购</w:t>
      </w:r>
      <w:r>
        <w:rPr>
          <w:rFonts w:hint="eastAsia"/>
          <w:color w:val="000000" w:themeColor="text1"/>
          <w:lang w:eastAsia="zh-CN"/>
        </w:rPr>
        <w:t>发包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4.项目工作范围及技术要求：见附件报价单及验收要求</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15259629857</w:t>
      </w:r>
      <w:r>
        <w:rPr>
          <w:rFonts w:hint="eastAsia"/>
          <w:lang w:val="en-US" w:eastAsia="zh-CN"/>
        </w:rPr>
        <w:t xml:space="preserve"> 邮箱：</w:t>
      </w:r>
      <w:r>
        <w:rPr>
          <w:rFonts w:hint="eastAsia"/>
          <w:lang w:eastAsia="zh-CN"/>
        </w:rPr>
        <w:t>xydai@fhcpec.com.cn</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val="en-US" w:eastAsia="zh-CN"/>
        </w:rPr>
      </w:pPr>
      <w:r>
        <w:rPr>
          <w:rFonts w:hint="eastAsia"/>
          <w:lang w:val="en-US" w:eastAsia="zh-CN"/>
        </w:rPr>
        <w:t>技术联系人：唐凤玉 电话：15059611803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fytang@fhcpec.com.cn</w:t>
      </w:r>
      <w:r>
        <w:rPr>
          <w:rFonts w:hint="eastAsia"/>
          <w:lang w:val="en-US" w:eastAsia="zh-CN"/>
        </w:rPr>
        <w:fldChar w:fldCharType="end"/>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七、参选文件的递交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bidi w:val="0"/>
        <w:snapToGrid/>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4.66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ascii="Times New Roman"/>
          <w:b/>
          <w:bCs/>
          <w:lang w:eastAsia="zh-CN"/>
        </w:rPr>
      </w:pPr>
      <w:r>
        <w:rPr>
          <w:rFonts w:hint="eastAsia" w:ascii="Times New Roman"/>
          <w:b/>
          <w:bCs/>
          <w:lang w:eastAsia="zh-CN"/>
        </w:rPr>
        <w:t>附件一、</w:t>
      </w:r>
    </w:p>
    <w:p>
      <w:pPr>
        <w:keepNext w:val="0"/>
        <w:keepLines w:val="0"/>
        <w:pageBreakBefore w:val="0"/>
        <w:widowControl w:val="0"/>
        <w:kinsoku/>
        <w:wordWrap/>
        <w:overflowPunct/>
        <w:topLinePunct w:val="0"/>
        <w:bidi w:val="0"/>
        <w:snapToGrid/>
        <w:spacing w:line="36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6"/>
        <w:gridCol w:w="3084"/>
        <w:gridCol w:w="1666"/>
        <w:gridCol w:w="2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41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w:t>
            </w:r>
          </w:p>
        </w:tc>
        <w:tc>
          <w:tcPr>
            <w:tcW w:w="3084" w:type="dxa"/>
          </w:tcPr>
          <w:p>
            <w:pPr>
              <w:keepNext w:val="0"/>
              <w:keepLines w:val="0"/>
              <w:pageBreakBefore w:val="0"/>
              <w:widowControl w:val="0"/>
              <w:kinsoku/>
              <w:wordWrap/>
              <w:overflowPunct/>
              <w:topLinePunct w:val="0"/>
              <w:bidi w:val="0"/>
              <w:snapToGrid/>
              <w:spacing w:line="360" w:lineRule="auto"/>
              <w:rPr>
                <w:sz w:val="24"/>
              </w:rPr>
            </w:pPr>
          </w:p>
        </w:tc>
        <w:tc>
          <w:tcPr>
            <w:tcW w:w="166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合同编号：</w:t>
            </w:r>
          </w:p>
        </w:tc>
        <w:tc>
          <w:tcPr>
            <w:tcW w:w="2604" w:type="dxa"/>
          </w:tcPr>
          <w:p>
            <w:pPr>
              <w:keepNext w:val="0"/>
              <w:keepLines w:val="0"/>
              <w:pageBreakBefore w:val="0"/>
              <w:widowControl w:val="0"/>
              <w:kinsoku/>
              <w:wordWrap/>
              <w:overflowPunct/>
              <w:topLinePunct w:val="0"/>
              <w:bidi w:val="0"/>
              <w:snapToGrid/>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41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甲方：</w:t>
            </w:r>
          </w:p>
        </w:tc>
        <w:tc>
          <w:tcPr>
            <w:tcW w:w="3084"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w:t>
            </w:r>
          </w:p>
        </w:tc>
        <w:tc>
          <w:tcPr>
            <w:tcW w:w="166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签订地点：</w:t>
            </w:r>
          </w:p>
        </w:tc>
        <w:tc>
          <w:tcPr>
            <w:tcW w:w="2604" w:type="dxa"/>
          </w:tcPr>
          <w:p>
            <w:pPr>
              <w:keepNext w:val="0"/>
              <w:keepLines w:val="0"/>
              <w:pageBreakBefore w:val="0"/>
              <w:widowControl w:val="0"/>
              <w:kinsoku/>
              <w:wordWrap/>
              <w:overflowPunct/>
              <w:topLinePunct w:val="0"/>
              <w:bidi w:val="0"/>
              <w:snapToGrid/>
              <w:spacing w:line="36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乙方：</w:t>
            </w:r>
          </w:p>
        </w:tc>
        <w:tc>
          <w:tcPr>
            <w:tcW w:w="3084" w:type="dxa"/>
          </w:tcPr>
          <w:p>
            <w:pPr>
              <w:keepNext w:val="0"/>
              <w:keepLines w:val="0"/>
              <w:pageBreakBefore w:val="0"/>
              <w:widowControl w:val="0"/>
              <w:kinsoku/>
              <w:wordWrap/>
              <w:overflowPunct/>
              <w:topLinePunct w:val="0"/>
              <w:bidi w:val="0"/>
              <w:snapToGrid/>
              <w:spacing w:line="360" w:lineRule="auto"/>
              <w:rPr>
                <w:sz w:val="24"/>
              </w:rPr>
            </w:pPr>
          </w:p>
        </w:tc>
        <w:tc>
          <w:tcPr>
            <w:tcW w:w="166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签订日期：</w:t>
            </w:r>
          </w:p>
        </w:tc>
        <w:tc>
          <w:tcPr>
            <w:tcW w:w="2604" w:type="dxa"/>
          </w:tcPr>
          <w:p>
            <w:pPr>
              <w:keepNext w:val="0"/>
              <w:keepLines w:val="0"/>
              <w:pageBreakBefore w:val="0"/>
              <w:widowControl w:val="0"/>
              <w:kinsoku/>
              <w:wordWrap/>
              <w:overflowPunct/>
              <w:topLinePunct w:val="0"/>
              <w:bidi w:val="0"/>
              <w:snapToGrid/>
              <w:spacing w:line="360" w:lineRule="auto"/>
              <w:rPr>
                <w:sz w:val="24"/>
              </w:rPr>
            </w:pPr>
          </w:p>
        </w:tc>
      </w:tr>
    </w:tbl>
    <w:p>
      <w:pPr>
        <w:keepNext w:val="0"/>
        <w:keepLines w:val="0"/>
        <w:pageBreakBefore w:val="0"/>
        <w:widowControl w:val="0"/>
        <w:kinsoku/>
        <w:wordWrap/>
        <w:overflowPunct/>
        <w:topLinePunct w:val="0"/>
        <w:bidi w:val="0"/>
        <w:snapToGrid/>
        <w:spacing w:line="360" w:lineRule="auto"/>
        <w:ind w:firstLine="480" w:firstLineChars="200"/>
        <w:rPr>
          <w:sz w:val="24"/>
        </w:rPr>
      </w:pP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根据甲方采购项目需求，经双方友好协商，就甲方向乙方采购本合同第1条所列产品相关事宜，依据《中华人民共和国</w:t>
      </w:r>
      <w:r>
        <w:rPr>
          <w:rFonts w:hint="eastAsia"/>
          <w:sz w:val="24"/>
          <w:lang w:val="en-US" w:eastAsia="zh-CN"/>
        </w:rPr>
        <w:t>民法典</w:t>
      </w:r>
      <w:r>
        <w:rPr>
          <w:rFonts w:hint="eastAsia"/>
          <w:sz w:val="24"/>
        </w:rPr>
        <w:t>》及其他相关法律法规规定，双方签订如下协议：</w:t>
      </w:r>
    </w:p>
    <w:p>
      <w:pPr>
        <w:keepNext w:val="0"/>
        <w:keepLines w:val="0"/>
        <w:pageBreakBefore w:val="0"/>
        <w:widowControl w:val="0"/>
        <w:kinsoku/>
        <w:wordWrap/>
        <w:overflowPunct/>
        <w:topLinePunct w:val="0"/>
        <w:bidi w:val="0"/>
        <w:snapToGrid/>
        <w:spacing w:line="360" w:lineRule="auto"/>
        <w:rPr>
          <w:sz w:val="24"/>
        </w:rPr>
      </w:pPr>
      <w:r>
        <w:rPr>
          <w:rFonts w:hint="eastAsia"/>
          <w:sz w:val="24"/>
        </w:rPr>
        <w:t>1、合同标的和合同价格</w:t>
      </w:r>
    </w:p>
    <w:tbl>
      <w:tblPr>
        <w:tblStyle w:val="46"/>
        <w:tblpPr w:leftFromText="180" w:rightFromText="180" w:vertAnchor="text" w:horzAnchor="page" w:tblpX="1250" w:tblpY="4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产品名称</w:t>
            </w:r>
          </w:p>
        </w:tc>
        <w:tc>
          <w:tcPr>
            <w:tcW w:w="2127"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规格型号</w:t>
            </w: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数量</w:t>
            </w: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单价/元</w:t>
            </w: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r>
              <w:rPr>
                <w:rFonts w:hint="eastAsia"/>
                <w:sz w:val="24"/>
              </w:rPr>
              <w:t>合同金额合计</w:t>
            </w:r>
          </w:p>
        </w:tc>
        <w:tc>
          <w:tcPr>
            <w:tcW w:w="7371" w:type="dxa"/>
            <w:gridSpan w:val="4"/>
            <w:vAlign w:val="center"/>
          </w:tcPr>
          <w:p>
            <w:pPr>
              <w:keepNext w:val="0"/>
              <w:keepLines w:val="0"/>
              <w:pageBreakBefore w:val="0"/>
              <w:widowControl w:val="0"/>
              <w:kinsoku/>
              <w:wordWrap/>
              <w:overflowPunct/>
              <w:topLinePunct w:val="0"/>
              <w:bidi w:val="0"/>
              <w:snapToGrid/>
              <w:spacing w:line="36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keepNext w:val="0"/>
        <w:keepLines w:val="0"/>
        <w:pageBreakBefore w:val="0"/>
        <w:widowControl w:val="0"/>
        <w:kinsoku/>
        <w:wordWrap/>
        <w:overflowPunct/>
        <w:topLinePunct w:val="0"/>
        <w:bidi w:val="0"/>
        <w:snapToGrid/>
        <w:spacing w:line="360" w:lineRule="auto"/>
        <w:rPr>
          <w:sz w:val="24"/>
        </w:rPr>
      </w:pPr>
      <w:r>
        <w:rPr>
          <w:rFonts w:hint="eastAsia"/>
          <w:sz w:val="24"/>
        </w:rPr>
        <w:t>上述金额为含税价格，包含了乙方提供本合同约定的产品及相应服务（如有）的全部价格，除非另有约定，甲方不再承担其他费用。</w:t>
      </w:r>
    </w:p>
    <w:p>
      <w:pPr>
        <w:keepNext w:val="0"/>
        <w:keepLines w:val="0"/>
        <w:pageBreakBefore w:val="0"/>
        <w:widowControl w:val="0"/>
        <w:kinsoku/>
        <w:wordWrap/>
        <w:overflowPunct/>
        <w:topLinePunct w:val="0"/>
        <w:bidi w:val="0"/>
        <w:snapToGrid/>
        <w:spacing w:line="360" w:lineRule="auto"/>
        <w:rPr>
          <w:sz w:val="24"/>
        </w:rPr>
      </w:pPr>
      <w:r>
        <w:rPr>
          <w:rFonts w:hint="eastAsia"/>
          <w:sz w:val="24"/>
        </w:rPr>
        <w:t>2、交货：</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2.1交货方式：</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2.3交货时间：</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3、付款方式与条件</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rPr>
        <w:t>%；产品验收合格</w:t>
      </w:r>
      <w:r>
        <w:rPr>
          <w:sz w:val="24"/>
          <w:u w:val="single"/>
        </w:rPr>
        <w:t xml:space="preserve">    </w:t>
      </w:r>
      <w:r>
        <w:rPr>
          <w:rFonts w:hint="eastAsia"/>
          <w:sz w:val="24"/>
        </w:rPr>
        <w:t>个月后，甲方向乙方支付剩余货款。</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3.2 乙方应根据甲方要求在甲方每次付款前</w:t>
      </w:r>
      <w:r>
        <w:rPr>
          <w:sz w:val="24"/>
          <w:u w:val="single"/>
        </w:rPr>
        <w:t xml:space="preserve"> </w:t>
      </w:r>
      <w:r>
        <w:rPr>
          <w:rFonts w:hint="eastAsia"/>
          <w:sz w:val="24"/>
          <w:u w:val="single"/>
          <w:lang w:val="en-US" w:eastAsia="zh-CN"/>
        </w:rPr>
        <w:t xml:space="preserve">60 </w:t>
      </w:r>
      <w:r>
        <w:rPr>
          <w:rFonts w:hint="eastAsia"/>
          <w:sz w:val="24"/>
        </w:rPr>
        <w:t>日内提供正式税务发票，否则甲方有权顺延付款。现场交货条件下，乙方应提交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keepNext w:val="0"/>
        <w:keepLines w:val="0"/>
        <w:pageBreakBefore w:val="0"/>
        <w:widowControl w:val="0"/>
        <w:kinsoku/>
        <w:wordWrap/>
        <w:overflowPunct/>
        <w:topLinePunct w:val="0"/>
        <w:bidi w:val="0"/>
        <w:snapToGrid/>
        <w:spacing w:line="360" w:lineRule="auto"/>
        <w:rPr>
          <w:sz w:val="24"/>
        </w:rPr>
      </w:pPr>
      <w:r>
        <w:rPr>
          <w:rFonts w:hint="eastAsia"/>
          <w:sz w:val="24"/>
        </w:rPr>
        <w:t>4、质量要求和技术标准</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4.4乙方不按本合同约定交付产品所产生的任何费用由乙方自己承担。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5、安装调试、技术服务、人员培训及技术资料</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5.1乙方为甲方提供下列服务（具体以在□内打“√”为准）</w:t>
      </w:r>
    </w:p>
    <w:p>
      <w:pPr>
        <w:keepNext w:val="0"/>
        <w:keepLines w:val="0"/>
        <w:pageBreakBefore w:val="0"/>
        <w:widowControl w:val="0"/>
        <w:kinsoku/>
        <w:wordWrap/>
        <w:overflowPunct/>
        <w:topLinePunct w:val="0"/>
        <w:bidi w:val="0"/>
        <w:snapToGrid/>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keepNext w:val="0"/>
        <w:keepLines w:val="0"/>
        <w:pageBreakBefore w:val="0"/>
        <w:widowControl w:val="0"/>
        <w:kinsoku/>
        <w:wordWrap/>
        <w:overflowPunct/>
        <w:topLinePunct w:val="0"/>
        <w:bidi w:val="0"/>
        <w:snapToGrid/>
        <w:spacing w:line="360" w:lineRule="auto"/>
        <w:rPr>
          <w:sz w:val="24"/>
        </w:rPr>
      </w:pPr>
      <w:r>
        <w:rPr>
          <w:rFonts w:hint="eastAsia"/>
          <w:sz w:val="24"/>
        </w:rPr>
        <w:t>6、验收</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6.1货物的货到验收包括：型号、规格、数量、外观质量、及货物包装是否完好。</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6.2乙方对一次开箱不合格（产品有质量故障）的产品予以换新，承担一切与之有关的费用。</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keepNext w:val="0"/>
        <w:keepLines w:val="0"/>
        <w:pageBreakBefore w:val="0"/>
        <w:widowControl w:val="0"/>
        <w:kinsoku/>
        <w:wordWrap/>
        <w:overflowPunct/>
        <w:topLinePunct w:val="0"/>
        <w:bidi w:val="0"/>
        <w:snapToGrid/>
        <w:spacing w:line="360" w:lineRule="auto"/>
        <w:rPr>
          <w:sz w:val="24"/>
        </w:rPr>
      </w:pPr>
      <w:r>
        <w:rPr>
          <w:rFonts w:hint="eastAsia"/>
          <w:sz w:val="24"/>
        </w:rPr>
        <w:t>7、质量保证</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keepNext w:val="0"/>
        <w:keepLines w:val="0"/>
        <w:pageBreakBefore w:val="0"/>
        <w:widowControl w:val="0"/>
        <w:kinsoku/>
        <w:wordWrap/>
        <w:overflowPunct/>
        <w:topLinePunct w:val="0"/>
        <w:bidi w:val="0"/>
        <w:snapToGrid/>
        <w:spacing w:line="360" w:lineRule="auto"/>
        <w:rPr>
          <w:sz w:val="24"/>
        </w:rPr>
      </w:pPr>
      <w:r>
        <w:rPr>
          <w:rFonts w:hint="eastAsia"/>
          <w:sz w:val="24"/>
        </w:rPr>
        <w:t>8、违约责任</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8.1乙方逾期交货的，每日按照合同总额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lang w:val="en-US" w:eastAsia="zh-CN"/>
        </w:rPr>
        <w:t>0.1</w:t>
      </w:r>
      <w:r>
        <w:rPr>
          <w:color w:val="000000" w:themeColor="text1"/>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%的违约金（甲方可从应付给乙方的货款中直接扣除）。乙方部分交货、交货不合格的，均按照逾期交货处理。</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8.2 乙方交付的产品经甲方验收不合格的，每次应向甲方支付违约金人民币</w:t>
      </w:r>
      <w:r>
        <w:rPr>
          <w:sz w:val="24"/>
          <w:u w:val="single"/>
        </w:rPr>
        <w:t xml:space="preserve"> </w:t>
      </w:r>
      <w:r>
        <w:rPr>
          <w:rFonts w:hint="eastAsia"/>
          <w:sz w:val="24"/>
          <w:u w:val="single"/>
          <w:lang w:val="en-US" w:eastAsia="zh-CN"/>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lang w:val="en-US" w:eastAsia="zh-CN"/>
        </w:rPr>
        <w:t>3</w:t>
      </w:r>
      <w:r>
        <w:rPr>
          <w:sz w:val="24"/>
          <w:u w:val="single"/>
        </w:rPr>
        <w:t xml:space="preserve"> </w:t>
      </w:r>
      <w:r>
        <w:rPr>
          <w:rFonts w:hint="eastAsia"/>
          <w:sz w:val="24"/>
        </w:rPr>
        <w:t>次验收不合格的，甲方还有权解除合同、拒绝支付任何费用。</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8.3 甲方无故逾期付款的，按照银行同期贷款利率标准支付利息。</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keepNext w:val="0"/>
        <w:keepLines w:val="0"/>
        <w:pageBreakBefore w:val="0"/>
        <w:widowControl w:val="0"/>
        <w:kinsoku/>
        <w:wordWrap/>
        <w:overflowPunct/>
        <w:topLinePunct w:val="0"/>
        <w:bidi w:val="0"/>
        <w:snapToGrid/>
        <w:spacing w:line="360" w:lineRule="auto"/>
        <w:ind w:firstLine="120" w:firstLineChars="50"/>
        <w:rPr>
          <w:sz w:val="24"/>
        </w:rPr>
      </w:pPr>
      <w:r>
        <w:rPr>
          <w:rFonts w:hint="eastAsia"/>
          <w:sz w:val="24"/>
        </w:rPr>
        <w:t>9、法律的适用及争议解决方式</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9.1、本合同的效力、解释及履行均适用中华人民共和国法律。</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10、 合同变更与解除： </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keepNext w:val="0"/>
        <w:keepLines w:val="0"/>
        <w:pageBreakBefore w:val="0"/>
        <w:widowControl w:val="0"/>
        <w:kinsoku/>
        <w:wordWrap/>
        <w:overflowPunct/>
        <w:topLinePunct w:val="0"/>
        <w:bidi w:val="0"/>
        <w:snapToGrid/>
        <w:spacing w:line="360" w:lineRule="auto"/>
        <w:rPr>
          <w:sz w:val="24"/>
        </w:rPr>
      </w:pPr>
      <w:r>
        <w:rPr>
          <w:rFonts w:hint="eastAsia"/>
          <w:sz w:val="24"/>
        </w:rPr>
        <w:t>11、通知</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12、本合同一式四份，经双方签订后生效，甲方执三份、乙方执一份，具有同等效力。</w:t>
      </w:r>
    </w:p>
    <w:p>
      <w:pPr>
        <w:keepNext w:val="0"/>
        <w:keepLines w:val="0"/>
        <w:pageBreakBefore w:val="0"/>
        <w:widowControl w:val="0"/>
        <w:kinsoku/>
        <w:wordWrap/>
        <w:overflowPunct/>
        <w:topLinePunct w:val="0"/>
        <w:bidi w:val="0"/>
        <w:snapToGrid/>
        <w:spacing w:line="360" w:lineRule="auto"/>
        <w:ind w:firstLine="480" w:firstLineChars="200"/>
        <w:rPr>
          <w:sz w:val="24"/>
        </w:rPr>
      </w:pPr>
    </w:p>
    <w:p>
      <w:pPr>
        <w:keepNext w:val="0"/>
        <w:keepLines w:val="0"/>
        <w:pageBreakBefore w:val="0"/>
        <w:widowControl w:val="0"/>
        <w:kinsoku/>
        <w:wordWrap/>
        <w:overflowPunct/>
        <w:topLinePunct w:val="0"/>
        <w:bidi w:val="0"/>
        <w:snapToGrid/>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甲方：</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联系地址：</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邮编：</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传真：</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电子邮箱：</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委托代理人：</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电话：</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开户银行：</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账号：</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账号：</w:t>
            </w:r>
          </w:p>
        </w:tc>
      </w:tr>
    </w:tbl>
    <w:p>
      <w:pPr>
        <w:keepNext w:val="0"/>
        <w:keepLines w:val="0"/>
        <w:pageBreakBefore w:val="0"/>
        <w:widowControl w:val="0"/>
        <w:kinsoku/>
        <w:wordWrap/>
        <w:overflowPunct/>
        <w:topLinePunct w:val="0"/>
        <w:bidi w:val="0"/>
        <w:snapToGrid/>
        <w:spacing w:line="360" w:lineRule="auto"/>
        <w:rPr>
          <w:sz w:val="24"/>
        </w:rPr>
      </w:pPr>
    </w:p>
    <w:p>
      <w:pPr>
        <w:keepNext w:val="0"/>
        <w:keepLines w:val="0"/>
        <w:pageBreakBefore w:val="0"/>
        <w:widowControl w:val="0"/>
        <w:kinsoku/>
        <w:wordWrap/>
        <w:overflowPunct/>
        <w:topLinePunct w:val="0"/>
        <w:bidi w:val="0"/>
        <w:snapToGrid/>
        <w:spacing w:line="360" w:lineRule="auto"/>
        <w:rPr>
          <w:sz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b/>
          <w:bCs/>
          <w:sz w:val="24"/>
          <w:szCs w:val="24"/>
        </w:rPr>
      </w:pPr>
      <w:r>
        <w:rPr>
          <w:rFonts w:hint="eastAsia"/>
          <w:b/>
          <w:bCs/>
          <w:sz w:val="24"/>
          <w:szCs w:val="24"/>
        </w:rPr>
        <w:t>附件二、参选文件范本</w:t>
      </w:r>
    </w:p>
    <w:p>
      <w:pPr>
        <w:pStyle w:val="25"/>
        <w:keepNext w:val="0"/>
        <w:keepLines w:val="0"/>
        <w:pageBreakBefore w:val="0"/>
        <w:widowControl w:val="0"/>
        <w:kinsoku/>
        <w:wordWrap/>
        <w:overflowPunct/>
        <w:topLinePunct w:val="0"/>
        <w:bidi w:val="0"/>
        <w:snapToGrid/>
        <w:spacing w:line="360" w:lineRule="auto"/>
        <w:jc w:val="center"/>
        <w:rPr>
          <w:rFonts w:ascii="Times New Roman" w:hAnsi="Times New Roman"/>
          <w:b/>
          <w:sz w:val="52"/>
          <w:szCs w:val="52"/>
          <w:lang w:eastAsia="zh-CN"/>
        </w:rPr>
      </w:pPr>
    </w:p>
    <w:p>
      <w:pPr>
        <w:pStyle w:val="2"/>
        <w:keepNext w:val="0"/>
        <w:keepLines w:val="0"/>
        <w:pageBreakBefore w:val="0"/>
        <w:widowControl w:val="0"/>
        <w:kinsoku/>
        <w:wordWrap/>
        <w:overflowPunct/>
        <w:topLinePunct w:val="0"/>
        <w:bidi w:val="0"/>
        <w:snapToGrid/>
        <w:spacing w:line="360" w:lineRule="auto"/>
        <w:jc w:val="both"/>
        <w:rPr>
          <w:rFonts w:ascii="Times New Roman" w:hAnsi="Times New Roman"/>
          <w:b/>
          <w:bCs/>
          <w:kern w:val="2"/>
          <w:sz w:val="36"/>
          <w:szCs w:val="36"/>
        </w:rPr>
      </w:pPr>
    </w:p>
    <w:p>
      <w:pPr>
        <w:keepNext w:val="0"/>
        <w:keepLines w:val="0"/>
        <w:pageBreakBefore w:val="0"/>
        <w:widowControl w:val="0"/>
        <w:kinsoku/>
        <w:wordWrap/>
        <w:overflowPunct/>
        <w:topLinePunct w:val="0"/>
        <w:bidi w:val="0"/>
        <w:snapToGrid/>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keepNext w:val="0"/>
        <w:keepLines w:val="0"/>
        <w:pageBreakBefore w:val="0"/>
        <w:widowControl w:val="0"/>
        <w:kinsoku/>
        <w:wordWrap/>
        <w:overflowPunct/>
        <w:topLinePunct w:val="0"/>
        <w:bidi w:val="0"/>
        <w:snapToGrid/>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w:t>
      </w:r>
      <w:r>
        <w:rPr>
          <w:rFonts w:hint="eastAsia" w:ascii="Times New Roman" w:hAnsi="ˎ̥"/>
          <w:color w:val="000000" w:themeColor="text1"/>
          <w:sz w:val="28"/>
          <w:szCs w:val="28"/>
          <w:u w:val="single"/>
          <w:lang w:val="en-US" w:eastAsia="zh-CN"/>
        </w:rPr>
        <w:t>3年仪表团队50个防爆操作柱采购</w:t>
      </w:r>
      <w:r>
        <w:rPr>
          <w:rFonts w:hint="eastAsia" w:ascii="Times New Roman" w:hAnsi="ˎ̥"/>
          <w:color w:val="000000" w:themeColor="text1"/>
          <w:sz w:val="28"/>
          <w:szCs w:val="28"/>
          <w:u w:val="single"/>
          <w:lang w:eastAsia="zh-CN"/>
        </w:rPr>
        <w:t>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u w:val="single"/>
          <w:lang w:eastAsia="zh-CN"/>
        </w:rPr>
      </w:pPr>
      <w:r>
        <w:rPr>
          <w:rFonts w:hint="eastAsia" w:ascii="Times New Roman" w:hAnsi="Times New Roman"/>
          <w:sz w:val="24"/>
          <w:szCs w:val="24"/>
          <w:lang w:eastAsia="zh-CN"/>
        </w:rPr>
        <w:t>合同包</w:t>
      </w:r>
      <w:r>
        <w:rPr>
          <w:rFonts w:ascii="Times New Roman" w:hAnsi="Times New Roman"/>
          <w:sz w:val="24"/>
          <w:szCs w:val="24"/>
          <w:lang w:eastAsia="zh-CN"/>
        </w:rPr>
        <w:t>3</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pStyle w:val="2"/>
        <w:keepNext w:val="0"/>
        <w:keepLines w:val="0"/>
        <w:pageBreakBefore w:val="0"/>
        <w:widowControl w:val="0"/>
        <w:kinsoku/>
        <w:wordWrap/>
        <w:overflowPunct/>
        <w:topLinePunct w:val="0"/>
        <w:bidi w:val="0"/>
        <w:snapToGrid/>
        <w:spacing w:line="360" w:lineRule="auto"/>
        <w:rPr>
          <w:lang w:eastAsia="zh-CN"/>
        </w:rPr>
      </w:pP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w:t>
      </w:r>
      <w:r>
        <w:rPr>
          <w:rFonts w:hint="eastAsia" w:ascii="Times New Roman" w:hAnsi="Times New Roman"/>
          <w:b/>
          <w:bCs/>
          <w:sz w:val="24"/>
          <w:szCs w:val="24"/>
          <w:lang w:val="en-US" w:eastAsia="zh-CN"/>
        </w:rPr>
        <w:t>分项明细清单见附件</w:t>
      </w:r>
      <w:r>
        <w:rPr>
          <w:rFonts w:hint="eastAsia" w:ascii="Times New Roman" w:hAnsi="Times New Roman"/>
          <w:b/>
          <w:bCs/>
          <w:sz w:val="24"/>
          <w:szCs w:val="24"/>
          <w:lang w:eastAsia="zh-CN"/>
        </w:rPr>
        <w:t>。</w:t>
      </w:r>
    </w:p>
    <w:p>
      <w:pPr>
        <w:pStyle w:val="2"/>
        <w:keepNext w:val="0"/>
        <w:keepLines w:val="0"/>
        <w:pageBreakBefore w:val="0"/>
        <w:widowControl w:val="0"/>
        <w:kinsoku/>
        <w:wordWrap/>
        <w:overflowPunct/>
        <w:topLinePunct w:val="0"/>
        <w:bidi w:val="0"/>
        <w:snapToGrid/>
        <w:spacing w:line="360" w:lineRule="auto"/>
        <w:rPr>
          <w:lang w:eastAsia="zh-CN"/>
        </w:rPr>
      </w:pPr>
    </w:p>
    <w:p>
      <w:pPr>
        <w:keepNext w:val="0"/>
        <w:keepLines w:val="0"/>
        <w:pageBreakBefore w:val="0"/>
        <w:widowControl w:val="0"/>
        <w:kinsoku/>
        <w:wordWrap/>
        <w:overflowPunct/>
        <w:topLinePunct w:val="0"/>
        <w:bidi w:val="0"/>
        <w:snapToGrid/>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560" w:firstLineChars="200"/>
        <w:rPr>
          <w:sz w:val="28"/>
          <w:u w:val="single"/>
          <w:lang w:eastAsia="zh-CN"/>
        </w:rPr>
      </w:pPr>
    </w:p>
    <w:p>
      <w:pPr>
        <w:keepNext w:val="0"/>
        <w:keepLines w:val="0"/>
        <w:pageBreakBefore w:val="0"/>
        <w:widowControl w:val="0"/>
        <w:kinsoku/>
        <w:wordWrap/>
        <w:overflowPunct/>
        <w:topLinePunct w:val="0"/>
        <w:bidi w:val="0"/>
        <w:snapToGrid/>
        <w:spacing w:line="360" w:lineRule="auto"/>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eastAsia"/>
          <w:color w:val="00B050"/>
          <w:sz w:val="28"/>
          <w:lang w:eastAsia="zh-CN"/>
        </w:rPr>
      </w:pPr>
    </w:p>
    <w:p>
      <w:pPr>
        <w:keepNext w:val="0"/>
        <w:keepLines w:val="0"/>
        <w:pageBreakBefore w:val="0"/>
        <w:widowControl w:val="0"/>
        <w:kinsoku/>
        <w:wordWrap/>
        <w:overflowPunct/>
        <w:topLinePunct w:val="0"/>
        <w:bidi w:val="0"/>
        <w:snapToGrid/>
        <w:spacing w:line="360" w:lineRule="auto"/>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keepNext w:val="0"/>
        <w:keepLines w:val="0"/>
        <w:pageBreakBefore w:val="0"/>
        <w:widowControl w:val="0"/>
        <w:kinsoku/>
        <w:wordWrap/>
        <w:overflowPunct/>
        <w:topLinePunct w:val="0"/>
        <w:bidi w:val="0"/>
        <w:snapToGrid/>
        <w:spacing w:line="360" w:lineRule="auto"/>
        <w:rPr>
          <w:color w:val="4E6127"/>
          <w:sz w:val="28"/>
          <w:u w:val="single"/>
          <w:lang w:eastAsia="zh-CN"/>
        </w:rPr>
      </w:pPr>
    </w:p>
    <w:p>
      <w:pPr>
        <w:keepNext w:val="0"/>
        <w:keepLines w:val="0"/>
        <w:pageBreakBefore w:val="0"/>
        <w:widowControl w:val="0"/>
        <w:kinsoku/>
        <w:wordWrap/>
        <w:overflowPunct/>
        <w:topLinePunct w:val="0"/>
        <w:bidi w:val="0"/>
        <w:snapToGrid/>
        <w:spacing w:line="360" w:lineRule="auto"/>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bookmarkEnd w:id="0"/>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59E63BF"/>
    <w:rsid w:val="061139E5"/>
    <w:rsid w:val="06F50B00"/>
    <w:rsid w:val="076E1278"/>
    <w:rsid w:val="08D1141D"/>
    <w:rsid w:val="094A7BA5"/>
    <w:rsid w:val="09610811"/>
    <w:rsid w:val="0B296DE2"/>
    <w:rsid w:val="0B4F0FFE"/>
    <w:rsid w:val="0B555FF1"/>
    <w:rsid w:val="10294AA3"/>
    <w:rsid w:val="109B279F"/>
    <w:rsid w:val="10E40CA0"/>
    <w:rsid w:val="136130D9"/>
    <w:rsid w:val="13CE320B"/>
    <w:rsid w:val="158161EB"/>
    <w:rsid w:val="158E1ADE"/>
    <w:rsid w:val="1682251C"/>
    <w:rsid w:val="18DD4F7E"/>
    <w:rsid w:val="195B58A2"/>
    <w:rsid w:val="19F253E3"/>
    <w:rsid w:val="1A3A6DF2"/>
    <w:rsid w:val="1C217EAF"/>
    <w:rsid w:val="1E085A14"/>
    <w:rsid w:val="1FF43DDB"/>
    <w:rsid w:val="21933AA2"/>
    <w:rsid w:val="24DC0EEC"/>
    <w:rsid w:val="25BF356F"/>
    <w:rsid w:val="25DB0C2D"/>
    <w:rsid w:val="263478BF"/>
    <w:rsid w:val="26886A55"/>
    <w:rsid w:val="269469E7"/>
    <w:rsid w:val="28FD301E"/>
    <w:rsid w:val="29FC3B14"/>
    <w:rsid w:val="2B11792E"/>
    <w:rsid w:val="2C9B48A1"/>
    <w:rsid w:val="2CD22518"/>
    <w:rsid w:val="2DE57862"/>
    <w:rsid w:val="2E9D453A"/>
    <w:rsid w:val="31C54755"/>
    <w:rsid w:val="320B25D2"/>
    <w:rsid w:val="3216608C"/>
    <w:rsid w:val="32E0343B"/>
    <w:rsid w:val="34606647"/>
    <w:rsid w:val="34CE14C6"/>
    <w:rsid w:val="34D84CEC"/>
    <w:rsid w:val="356D4FAD"/>
    <w:rsid w:val="37AF5AB7"/>
    <w:rsid w:val="37F824E3"/>
    <w:rsid w:val="395A672D"/>
    <w:rsid w:val="3B1C3371"/>
    <w:rsid w:val="3CC23198"/>
    <w:rsid w:val="3DDF4815"/>
    <w:rsid w:val="3ED80D7C"/>
    <w:rsid w:val="3FB11C04"/>
    <w:rsid w:val="3FE669E5"/>
    <w:rsid w:val="40FD77F3"/>
    <w:rsid w:val="423D79BD"/>
    <w:rsid w:val="493350F2"/>
    <w:rsid w:val="4946347D"/>
    <w:rsid w:val="499B72BF"/>
    <w:rsid w:val="4C3D436D"/>
    <w:rsid w:val="4D7472E9"/>
    <w:rsid w:val="4E844153"/>
    <w:rsid w:val="4F34472E"/>
    <w:rsid w:val="4F7033BA"/>
    <w:rsid w:val="4FB40925"/>
    <w:rsid w:val="50F63E28"/>
    <w:rsid w:val="5221007F"/>
    <w:rsid w:val="52926B5A"/>
    <w:rsid w:val="545C5E51"/>
    <w:rsid w:val="5486175B"/>
    <w:rsid w:val="55952173"/>
    <w:rsid w:val="5604432E"/>
    <w:rsid w:val="56782911"/>
    <w:rsid w:val="57667D24"/>
    <w:rsid w:val="57CE5BC3"/>
    <w:rsid w:val="586D6C9A"/>
    <w:rsid w:val="5AE1516A"/>
    <w:rsid w:val="5B6A3A79"/>
    <w:rsid w:val="5C1A5F7B"/>
    <w:rsid w:val="5C57586D"/>
    <w:rsid w:val="5EF92A9F"/>
    <w:rsid w:val="5F953B47"/>
    <w:rsid w:val="62084B2E"/>
    <w:rsid w:val="62397FD0"/>
    <w:rsid w:val="645771F8"/>
    <w:rsid w:val="65304BCB"/>
    <w:rsid w:val="66FD5367"/>
    <w:rsid w:val="68A37498"/>
    <w:rsid w:val="6A54112D"/>
    <w:rsid w:val="6AA035AE"/>
    <w:rsid w:val="6E0F2E14"/>
    <w:rsid w:val="6EBB75BF"/>
    <w:rsid w:val="6F1E141D"/>
    <w:rsid w:val="6F5354F8"/>
    <w:rsid w:val="72DE4E13"/>
    <w:rsid w:val="73F3359E"/>
    <w:rsid w:val="740A2BDE"/>
    <w:rsid w:val="74B45F33"/>
    <w:rsid w:val="751839E0"/>
    <w:rsid w:val="75D56EB3"/>
    <w:rsid w:val="76274F93"/>
    <w:rsid w:val="79EB3F2F"/>
    <w:rsid w:val="7A442103"/>
    <w:rsid w:val="7B11789E"/>
    <w:rsid w:val="7BEA2D8E"/>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27</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2023-06-13T01:50:25Z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