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PTA装置 M-311-1/2托轮组件采购技术要求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  <w:color w:val="auto"/>
        </w:rPr>
      </w:pPr>
      <w:r>
        <w:rPr>
          <w:rFonts w:hint="eastAsia" w:ascii="宋体" w:hAnsi="宋体"/>
        </w:rPr>
        <w:t>一、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概况</w:t>
      </w:r>
      <w:r>
        <w:rPr>
          <w:rFonts w:ascii="宋体" w:hAnsi="宋体"/>
          <w:color w:val="auto"/>
        </w:rPr>
        <w:t xml:space="preserve">      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名称：M-311-1/2托轮组件采购项目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业主（或甲方）：福建福海创石油化工有限公司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供应商（或乙方）：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地点：福建省漳州市古雷开发区腾龙路86号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二、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请购明细：</w:t>
      </w:r>
    </w:p>
    <w:tbl>
      <w:tblPr>
        <w:tblStyle w:val="5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134"/>
        <w:gridCol w:w="1276"/>
        <w:gridCol w:w="1985"/>
        <w:gridCol w:w="1559"/>
        <w:gridCol w:w="8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shd w:val="clear" w:color="auto" w:fill="auto"/>
          </w:tcPr>
          <w:p>
            <w:pPr>
              <w:spacing w:line="480" w:lineRule="auto"/>
              <w:ind w:right="-250" w:rightChars="-119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物编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名称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位号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材质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480" w:lineRule="auto"/>
              <w:ind w:right="-531" w:rightChars="-253" w:firstLine="480" w:firstLineChars="200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规格</w:t>
            </w:r>
          </w:p>
        </w:tc>
        <w:tc>
          <w:tcPr>
            <w:tcW w:w="876" w:type="dxa"/>
          </w:tcPr>
          <w:p>
            <w:pPr>
              <w:spacing w:line="480" w:lineRule="auto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ascii="宋体" w:hAnsi="宋体" w:cs="华文楷体"/>
                <w:sz w:val="24"/>
              </w:rPr>
              <w:t>数量</w:t>
            </w:r>
          </w:p>
        </w:tc>
        <w:tc>
          <w:tcPr>
            <w:tcW w:w="850" w:type="dxa"/>
          </w:tcPr>
          <w:p>
            <w:pPr>
              <w:spacing w:line="480" w:lineRule="auto"/>
              <w:ind w:leftChars="-218" w:hanging="458" w:hangingChars="191"/>
              <w:jc w:val="center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75" w:type="dxa"/>
            <w:shd w:val="clear" w:color="auto" w:fill="auto"/>
          </w:tcPr>
          <w:p>
            <w:pPr>
              <w:spacing w:line="480" w:lineRule="auto"/>
              <w:ind w:firstLine="240" w:firstLineChars="100"/>
              <w:rPr>
                <w:rFonts w:ascii="宋体" w:hAnsi="宋体" w:cs="华文楷体"/>
                <w:sz w:val="24"/>
              </w:rPr>
            </w:pPr>
            <w:r>
              <w:rPr>
                <w:rFonts w:hint="eastAsia" w:ascii="宋体" w:hAnsi="宋体" w:cs="华文楷体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480" w:lineRule="auto"/>
              <w:ind w:right="-107" w:rightChars="-51"/>
              <w:rPr>
                <w:rFonts w:ascii="宋体" w:hAnsi="宋体"/>
              </w:rPr>
            </w:pPr>
            <w:r>
              <w:rPr>
                <w:sz w:val="24"/>
              </w:rPr>
              <w:t>1599060114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ind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托轮组件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480" w:lineRule="auto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M-311-1/2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托轮材质</w:t>
            </w:r>
            <w:r>
              <w:rPr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CrNiMo</w:t>
            </w:r>
            <w:r>
              <w:rPr>
                <w:rFonts w:hint="eastAsia"/>
                <w:sz w:val="24"/>
              </w:rPr>
              <w:t>；托轮轴材质</w:t>
            </w:r>
            <w:r>
              <w:rPr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Cr</w:t>
            </w:r>
            <w:r>
              <w:rPr>
                <w:rFonts w:hint="eastAsia"/>
                <w:sz w:val="24"/>
              </w:rPr>
              <w:t>Mo；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sz w:val="24"/>
              </w:rPr>
              <w:t>Φ1400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>M-311-1/2\HZG1673-09-08-00</w:t>
            </w:r>
          </w:p>
        </w:tc>
        <w:tc>
          <w:tcPr>
            <w:tcW w:w="87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2套</w:t>
            </w: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pStyle w:val="7"/>
      </w:pP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  <w:color w:val="auto"/>
        </w:rPr>
      </w:pPr>
      <w:r>
        <w:rPr>
          <w:rFonts w:hint="eastAsia" w:ascii="宋体" w:hAnsi="宋体"/>
        </w:rPr>
        <w:t>三、投标要求</w:t>
      </w:r>
    </w:p>
    <w:p>
      <w:pPr>
        <w:pStyle w:val="8"/>
        <w:numPr>
          <w:ilvl w:val="0"/>
          <w:numId w:val="2"/>
        </w:numPr>
        <w:adjustRightInd w:val="0"/>
        <w:snapToGrid w:val="0"/>
        <w:spacing w:after="0" w:line="360" w:lineRule="auto"/>
        <w:rPr>
          <w:rFonts w:ascii="宋体" w:hAnsi="宋体"/>
          <w:color w:val="auto"/>
        </w:rPr>
      </w:pPr>
      <w:r>
        <w:rPr>
          <w:rFonts w:hint="eastAsia" w:asciiTheme="minorEastAsia" w:hAnsiTheme="minorEastAsia" w:eastAsiaTheme="minorEastAsia"/>
        </w:rPr>
        <w:t>承揽商需具有独立法人资格和履行合同能力，有良好的信誉和售后服务能力；</w:t>
      </w:r>
    </w:p>
    <w:p>
      <w:pPr>
        <w:pStyle w:val="9"/>
        <w:numPr>
          <w:ilvl w:val="0"/>
          <w:numId w:val="2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承揽商需具备PTA干燥机托轮供货业绩，在此行业无不良业绩；</w:t>
      </w:r>
    </w:p>
    <w:p>
      <w:pPr>
        <w:pStyle w:val="9"/>
        <w:numPr>
          <w:ilvl w:val="0"/>
          <w:numId w:val="2"/>
        </w:numPr>
        <w:spacing w:line="420" w:lineRule="auto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要求交货期为合同订单签订后6个月内。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</w:rPr>
      </w:pPr>
      <w:r>
        <w:rPr>
          <w:rFonts w:hint="eastAsia" w:ascii="宋体" w:hAnsi="宋体"/>
        </w:rPr>
        <w:t>四、交货地点</w:t>
      </w:r>
    </w:p>
    <w:p>
      <w:pPr>
        <w:pStyle w:val="8"/>
        <w:adjustRightInd w:val="0"/>
        <w:snapToGrid w:val="0"/>
        <w:spacing w:beforeLines="50" w:after="0" w:line="360" w:lineRule="auto"/>
        <w:ind w:firstLine="240" w:firstLineChars="100"/>
        <w:rPr>
          <w:rFonts w:ascii="宋体" w:hAnsi="宋体"/>
        </w:rPr>
      </w:pPr>
      <w:r>
        <w:rPr>
          <w:rFonts w:hint="eastAsia" w:ascii="宋体" w:hAnsi="宋体"/>
        </w:rPr>
        <w:t>福建福海创石油化工有限公司PTA厂区。</w:t>
      </w:r>
    </w:p>
    <w:p>
      <w:pPr>
        <w:pStyle w:val="9"/>
        <w:numPr>
          <w:ilvl w:val="0"/>
          <w:numId w:val="3"/>
        </w:numPr>
        <w:spacing w:line="480" w:lineRule="exac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技术及相关要求：</w:t>
      </w:r>
    </w:p>
    <w:p>
      <w:pPr>
        <w:pStyle w:val="8"/>
        <w:numPr>
          <w:ilvl w:val="0"/>
          <w:numId w:val="4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M-311-1/2干燥机托轮组件，托轮规格Φ</w:t>
      </w:r>
      <w:r>
        <w:rPr>
          <w:rFonts w:asciiTheme="minorEastAsia" w:hAnsiTheme="minorEastAsia" w:eastAsiaTheme="minorEastAsia"/>
        </w:rPr>
        <w:t>1400</w:t>
      </w:r>
      <w:r>
        <w:rPr>
          <w:rFonts w:hint="eastAsia" w:asciiTheme="minorEastAsia" w:hAnsiTheme="minorEastAsia" w:eastAsiaTheme="minorEastAsia"/>
        </w:rPr>
        <w:t>，材质</w:t>
      </w:r>
      <w:r>
        <w:rPr>
          <w:rFonts w:asciiTheme="minorEastAsia" w:hAnsiTheme="minorEastAsia" w:eastAsiaTheme="minorEastAsia"/>
        </w:rPr>
        <w:t xml:space="preserve"> 4</w:t>
      </w:r>
      <w:r>
        <w:rPr>
          <w:rFonts w:hint="eastAsia" w:asciiTheme="minorEastAsia" w:hAnsiTheme="minorEastAsia" w:eastAsiaTheme="minorEastAsia"/>
        </w:rPr>
        <w:t>0</w:t>
      </w:r>
      <w:r>
        <w:rPr>
          <w:rFonts w:asciiTheme="minorEastAsia" w:hAnsiTheme="minorEastAsia" w:eastAsiaTheme="minorEastAsia"/>
        </w:rPr>
        <w:t>CrNiMo</w:t>
      </w:r>
      <w:r>
        <w:rPr>
          <w:rFonts w:hint="eastAsia" w:asciiTheme="minorEastAsia" w:hAnsiTheme="minorEastAsia" w:eastAsiaTheme="minorEastAsia"/>
        </w:rPr>
        <w:t>；托轮轴材质</w:t>
      </w:r>
      <w:r>
        <w:rPr>
          <w:rFonts w:asciiTheme="minorEastAsia" w:hAnsiTheme="minorEastAsia" w:eastAsiaTheme="minorEastAsia"/>
        </w:rPr>
        <w:t xml:space="preserve"> 4</w:t>
      </w: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>Cr</w:t>
      </w:r>
      <w:r>
        <w:rPr>
          <w:rFonts w:hint="eastAsia" w:asciiTheme="minorEastAsia" w:hAnsiTheme="minorEastAsia" w:eastAsiaTheme="minorEastAsia"/>
        </w:rPr>
        <w:t>Mo；</w:t>
      </w:r>
    </w:p>
    <w:p>
      <w:pPr>
        <w:pStyle w:val="8"/>
        <w:numPr>
          <w:ilvl w:val="0"/>
          <w:numId w:val="4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乙方提供新轴承，轴承型号为</w:t>
      </w:r>
      <w:r>
        <w:rPr>
          <w:rFonts w:asciiTheme="minorEastAsia" w:hAnsiTheme="minorEastAsia" w:eastAsiaTheme="minorEastAsia"/>
        </w:rPr>
        <w:t xml:space="preserve"> 23188CA/W33</w:t>
      </w:r>
      <w:r>
        <w:rPr>
          <w:rFonts w:hint="eastAsia" w:asciiTheme="minorEastAsia" w:hAnsiTheme="minorEastAsia" w:eastAsiaTheme="minorEastAsia"/>
        </w:rPr>
        <w:t>，要求：SKF；轴承座需防腐油漆；油封、油标、呼吸阀等由乙方供应商供货；</w:t>
      </w:r>
    </w:p>
    <w:p>
      <w:pPr>
        <w:pStyle w:val="8"/>
        <w:numPr>
          <w:ilvl w:val="0"/>
          <w:numId w:val="4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尺寸要求：表面粗糙度: 3.2,同心度： 0.1 mm，平行度：0.1 mm，托轮及托轮轴过盈间隙（0.20~0.25mm）,表面硬度：调质处理BHN：220~250；</w:t>
      </w:r>
    </w:p>
    <w:p>
      <w:pPr>
        <w:pStyle w:val="8"/>
        <w:numPr>
          <w:ilvl w:val="0"/>
          <w:numId w:val="4"/>
        </w:numPr>
        <w:adjustRightInd w:val="0"/>
        <w:snapToGrid w:val="0"/>
        <w:spacing w:after="0" w:line="360" w:lineRule="auto"/>
      </w:pPr>
      <w:r>
        <w:rPr>
          <w:rFonts w:hint="eastAsia"/>
        </w:rPr>
        <w:t>要求托轮表面需涂刷防锈油，托轮组件整体配套氮封箱（氮封箱要求备件到货后可打开验收）；</w:t>
      </w:r>
    </w:p>
    <w:p>
      <w:pPr>
        <w:pStyle w:val="8"/>
        <w:numPr>
          <w:ilvl w:val="0"/>
          <w:numId w:val="4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竣工资料：2份纸质竣工资料+1份电子档，做为验收凭证；</w:t>
      </w:r>
    </w:p>
    <w:p>
      <w:pPr>
        <w:pStyle w:val="8"/>
        <w:numPr>
          <w:ilvl w:val="0"/>
          <w:numId w:val="4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托轮组件可以与原厂的互换，相互替代，与干燥机，大滚圈匹配；</w:t>
      </w:r>
    </w:p>
    <w:p>
      <w:pPr>
        <w:pStyle w:val="8"/>
        <w:numPr>
          <w:ilvl w:val="0"/>
          <w:numId w:val="4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报名厂家需提供图纸/技术协议经甲方确认；</w:t>
      </w:r>
    </w:p>
    <w:p>
      <w:pPr>
        <w:pStyle w:val="8"/>
        <w:numPr>
          <w:ilvl w:val="0"/>
          <w:numId w:val="4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质保期为设备到货后18个月或系统投运正常后12个月。在质保期内，如果发现有任何缺陷的产品或不符合本技术协议规定，卖方需在48小时内派遣技术人员到达现场解决问题。如果责任在卖方，卖方应在双方共同协商达成的限定时间内，自费修理或更换此有缺陷的部件。</w:t>
      </w:r>
    </w:p>
    <w:p>
      <w:pPr>
        <w:pStyle w:val="8"/>
        <w:numPr>
          <w:ilvl w:val="0"/>
          <w:numId w:val="4"/>
        </w:numPr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产品包装及运输由乙方负责，运输风险由乙方承担。</w:t>
      </w:r>
    </w:p>
    <w:p>
      <w:pPr>
        <w:pStyle w:val="8"/>
        <w:adjustRightInd w:val="0"/>
        <w:snapToGrid w:val="0"/>
        <w:spacing w:after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10、未尽事宜，甲乙双方友好协商解决。</w:t>
      </w: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ind w:left="710"/>
        <w:rPr>
          <w:rFonts w:asciiTheme="minorEastAsia" w:hAnsiTheme="minorEastAsia" w:eastAsiaTheme="minorEastAsia"/>
          <w:kern w:val="0"/>
          <w:sz w:val="24"/>
          <w:szCs w:val="24"/>
        </w:rPr>
      </w:pPr>
    </w:p>
    <w:p>
      <w:pPr>
        <w:spacing w:line="360" w:lineRule="auto"/>
        <w:ind w:left="710" w:leftChars="338"/>
        <w:rPr>
          <w:rFonts w:asciiTheme="minorEastAsia" w:hAnsiTheme="minorEastAsia" w:eastAsiaTheme="minorEastAsia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E1F"/>
    <w:multiLevelType w:val="multilevel"/>
    <w:tmpl w:val="2FF87E1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CA7FA7"/>
    <w:multiLevelType w:val="multilevel"/>
    <w:tmpl w:val="46CA7FA7"/>
    <w:lvl w:ilvl="0" w:tentative="0">
      <w:start w:val="5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5B422B16"/>
    <w:multiLevelType w:val="multilevel"/>
    <w:tmpl w:val="5B422B1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0810D9"/>
    <w:multiLevelType w:val="multilevel"/>
    <w:tmpl w:val="5F0810D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3B8"/>
    <w:rsid w:val="00013AC1"/>
    <w:rsid w:val="00017692"/>
    <w:rsid w:val="00127AED"/>
    <w:rsid w:val="00143D33"/>
    <w:rsid w:val="001A23F2"/>
    <w:rsid w:val="001C062F"/>
    <w:rsid w:val="001C4C2D"/>
    <w:rsid w:val="001E1E16"/>
    <w:rsid w:val="002030D5"/>
    <w:rsid w:val="00220381"/>
    <w:rsid w:val="0025131A"/>
    <w:rsid w:val="0026471A"/>
    <w:rsid w:val="002916DC"/>
    <w:rsid w:val="002A518B"/>
    <w:rsid w:val="002D04DA"/>
    <w:rsid w:val="00320190"/>
    <w:rsid w:val="003910B3"/>
    <w:rsid w:val="00406731"/>
    <w:rsid w:val="00481433"/>
    <w:rsid w:val="004A18AE"/>
    <w:rsid w:val="004A6142"/>
    <w:rsid w:val="005419C5"/>
    <w:rsid w:val="00586694"/>
    <w:rsid w:val="00592936"/>
    <w:rsid w:val="005B120B"/>
    <w:rsid w:val="005C5B42"/>
    <w:rsid w:val="005E0195"/>
    <w:rsid w:val="005E395F"/>
    <w:rsid w:val="006074AD"/>
    <w:rsid w:val="00633A81"/>
    <w:rsid w:val="006719FF"/>
    <w:rsid w:val="006918C6"/>
    <w:rsid w:val="006A69D0"/>
    <w:rsid w:val="006C0572"/>
    <w:rsid w:val="007073EB"/>
    <w:rsid w:val="007A6604"/>
    <w:rsid w:val="007F52CF"/>
    <w:rsid w:val="008124F3"/>
    <w:rsid w:val="0082637A"/>
    <w:rsid w:val="008268F3"/>
    <w:rsid w:val="0083468B"/>
    <w:rsid w:val="00851462"/>
    <w:rsid w:val="008612C0"/>
    <w:rsid w:val="0088174B"/>
    <w:rsid w:val="008F65F9"/>
    <w:rsid w:val="008F70F1"/>
    <w:rsid w:val="0091442C"/>
    <w:rsid w:val="0092432C"/>
    <w:rsid w:val="00985B12"/>
    <w:rsid w:val="009B2768"/>
    <w:rsid w:val="009E7759"/>
    <w:rsid w:val="00A20B8A"/>
    <w:rsid w:val="00A21161"/>
    <w:rsid w:val="00A47101"/>
    <w:rsid w:val="00A76591"/>
    <w:rsid w:val="00AB555A"/>
    <w:rsid w:val="00AB5A8C"/>
    <w:rsid w:val="00AC746C"/>
    <w:rsid w:val="00AF167D"/>
    <w:rsid w:val="00AF24FA"/>
    <w:rsid w:val="00B41160"/>
    <w:rsid w:val="00B753F0"/>
    <w:rsid w:val="00BA4CB5"/>
    <w:rsid w:val="00BC7A06"/>
    <w:rsid w:val="00BD22EC"/>
    <w:rsid w:val="00BD23B8"/>
    <w:rsid w:val="00C91349"/>
    <w:rsid w:val="00CB023D"/>
    <w:rsid w:val="00CD6468"/>
    <w:rsid w:val="00CE011D"/>
    <w:rsid w:val="00D35A42"/>
    <w:rsid w:val="00DA131F"/>
    <w:rsid w:val="00DD0B24"/>
    <w:rsid w:val="00DD30DF"/>
    <w:rsid w:val="00E03C42"/>
    <w:rsid w:val="00E10641"/>
    <w:rsid w:val="00EA785D"/>
    <w:rsid w:val="00EB3CE5"/>
    <w:rsid w:val="00EB6B72"/>
    <w:rsid w:val="00EF3AFA"/>
    <w:rsid w:val="00EF6191"/>
    <w:rsid w:val="00F14E62"/>
    <w:rsid w:val="00F64CD2"/>
    <w:rsid w:val="00F9012B"/>
    <w:rsid w:val="00F97A1B"/>
    <w:rsid w:val="00FD3E25"/>
    <w:rsid w:val="00FE0D64"/>
    <w:rsid w:val="4DE1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nhideWhenUsed/>
    <w:uiPriority w:val="99"/>
    <w:pPr>
      <w:widowControl w:val="0"/>
      <w:autoSpaceDE w:val="0"/>
      <w:autoSpaceDN w:val="0"/>
    </w:pPr>
    <w:rPr>
      <w:rFonts w:ascii="Arial" w:hAnsi="Arial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8">
    <w:name w:val="CM7"/>
    <w:basedOn w:val="7"/>
    <w:next w:val="7"/>
    <w:unhideWhenUsed/>
    <w:uiPriority w:val="99"/>
    <w:pPr>
      <w:spacing w:after="320"/>
    </w:pPr>
  </w:style>
  <w:style w:type="paragraph" w:customStyle="1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页眉 Char"/>
    <w:basedOn w:val="4"/>
    <w:link w:val="3"/>
    <w:semiHidden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11">
    <w:name w:val="页脚 Char"/>
    <w:basedOn w:val="4"/>
    <w:link w:val="2"/>
    <w:semiHidden/>
    <w:qFormat/>
    <w:uiPriority w:val="99"/>
    <w:rPr>
      <w:rFonts w:ascii="Times New Roman" w:hAnsi="Times New Roman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144</Words>
  <Characters>826</Characters>
  <Lines>6</Lines>
  <Paragraphs>1</Paragraphs>
  <TotalTime>21</TotalTime>
  <ScaleCrop>false</ScaleCrop>
  <LinksUpToDate>false</LinksUpToDate>
  <CharactersWithSpaces>969</CharactersWithSpaces>
  <Application>WPS Office_10.8.0.6432_F1E327BC-269C-435d-A152-05C5408002CA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2023-04-18T01:38:00Z</dcterms:created>
  <dc:creator>ztguan</dc:creator>
  <cp:lastModifiedBy>333</cp:lastModifiedBy>
  <cp:lastPrinted>2023-04-18T02:17:00Z</cp:lastPrinted>
  <dcterms:modified xsi:type="dcterms:W3CDTF">2023-04-20T01:16:44Z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