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20KG标准砝码委托检定服务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20kg标准砝码委托检定服务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20kg标准砝码委托检定服务</w:t>
      </w:r>
      <w:r>
        <w:rPr>
          <w:rFonts w:hint="eastAsia"/>
          <w:color w:val="000000" w:themeColor="text1"/>
          <w:u w:val="single"/>
          <w:lang w:eastAsia="zh-CN"/>
        </w:rPr>
        <w:t>项目（项目编号：FHC-PTCG20230410001）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20kg标准砝码委托检定服务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控制价：9,000元（含税价）</w:t>
      </w:r>
    </w:p>
    <w:p>
      <w:pPr>
        <w:spacing w:line="360" w:lineRule="auto"/>
        <w:ind w:firstLine="480" w:firstLineChars="200"/>
        <w:rPr>
          <w:sz w:val="24"/>
          <w:szCs w:val="24"/>
          <w:lang w:eastAsia="zh-CN"/>
        </w:rPr>
      </w:pPr>
      <w:r>
        <w:rPr>
          <w:rFonts w:hint="eastAsia"/>
          <w:sz w:val="24"/>
          <w:szCs w:val="24"/>
          <w:lang w:eastAsia="zh-CN"/>
        </w:rPr>
        <w:t>3.检定数量：（</w:t>
      </w:r>
      <w:r>
        <w:rPr>
          <w:lang w:eastAsia="zh-CN"/>
        </w:rPr>
        <w:t>20kg标准砝码</w:t>
      </w:r>
      <w:r>
        <w:rPr>
          <w:rFonts w:hint="eastAsia"/>
          <w:lang w:eastAsia="zh-CN"/>
        </w:rPr>
        <w:t>）120个。</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.2023年8月01日到期前一周检定完成并出具合格的《检定证书》</w:t>
      </w:r>
      <w:r>
        <w:rPr>
          <w:rFonts w:hint="eastAsia" w:ascii="Calibri" w:hAnsi="Calibri" w:cs="Times New Roman"/>
          <w:color w:val="auto"/>
          <w:kern w:val="2"/>
          <w:sz w:val="24"/>
          <w:szCs w:val="24"/>
          <w:lang w:val="en-US" w:eastAsia="zh-CN" w:bidi="ar-SA"/>
        </w:rPr>
        <w:t>。</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color w:val="auto"/>
          <w:sz w:val="24"/>
          <w:szCs w:val="24"/>
          <w:lang w:eastAsia="zh-CN"/>
        </w:rPr>
        <w:t>检测期间不得影响现场生产所需。</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eastAsia="zh-CN"/>
        </w:rPr>
        <w:t>检定方具备相关仪表计量检定资质，检定计量器具、工具、砝码运输由检定方自理。</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eastAsia="zh-CN"/>
        </w:rPr>
        <w:t>签定两年（2023-2024年）检测年约。</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val="en-US" w:eastAsia="zh-CN"/>
        </w:rPr>
        <w:t>参选人必须具备相关仪表计量鉴定资质。</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20kg标准砝码委托检定服务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现场检定</w:t>
      </w:r>
      <w:r>
        <w:rPr>
          <w:rFonts w:hint="eastAsia" w:asciiTheme="minorEastAsia" w:hAnsiTheme="minorEastAsia" w:eastAsiaTheme="minorEastAsia"/>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3.承包方式：固定单价，据实结算（报价包含计量器具、工具、人工费、材料费、税、检定等其他费用）。</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eastAsia="zh-CN"/>
        </w:rPr>
        <w:t>林芳</w:t>
      </w:r>
      <w:r>
        <w:rPr>
          <w:rFonts w:hint="eastAsia" w:asciiTheme="minorEastAsia" w:hAnsiTheme="minorEastAsia" w:eastAsiaTheme="minorEastAsia"/>
          <w:color w:val="000000" w:themeColor="text1"/>
          <w:shd w:val="clear" w:color="auto" w:fill="FFFFFF"/>
          <w:lang w:eastAsia="zh-CN"/>
        </w:rPr>
        <w:t xml:space="preserve">    1595988987</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eastAsia"/>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lang w:eastAsia="zh-CN"/>
        </w:rPr>
        <w:t>砝码检定合格。合同期限届满，乙方尚未完成的服务，仍应按照本合同约定履行。</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3</w:t>
      </w:r>
      <w:r>
        <w:rPr>
          <w:rFonts w:hint="eastAsia"/>
          <w:sz w:val="24"/>
          <w:szCs w:val="24"/>
          <w:lang w:val="en-US" w:eastAsia="zh-CN"/>
        </w:rPr>
        <w:t>.2023年8月01日到期前一周检定完成并出具合格的《检定证书》。</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检测期间不得影响现场生产所需。</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lang w:eastAsia="zh-CN"/>
        </w:rPr>
        <w:t>检定方具备相关仪表计量检定资质，检定计量器具、工具、砝码运输由检定方自理。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6.签定两年（2023-2024年）检测年约。</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7.参选人必须具备相关仪表计量鉴定资质。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 xml:space="preserve">年 </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 xml:space="preserve"> 日17时</w:t>
      </w:r>
      <w:r>
        <w:rPr>
          <w:rFonts w:hint="eastAsia"/>
          <w:color w:val="000000" w:themeColor="text1"/>
          <w:lang w:val="en-US" w:eastAsia="zh-CN"/>
        </w:rPr>
        <w:t>30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,000.00元（含税价）。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翔鹭石化（漳州）有限公司</w:t>
      </w:r>
    </w:p>
    <w:p>
      <w:pPr>
        <w:pStyle w:val="2"/>
        <w:spacing w:line="240" w:lineRule="atLeast"/>
        <w:jc w:val="center"/>
        <w:rPr>
          <w:b/>
          <w:color w:val="000000"/>
          <w:sz w:val="32"/>
          <w:szCs w:val="32"/>
        </w:rPr>
      </w:pPr>
      <w:r>
        <w:rPr>
          <w:rFonts w:hint="eastAsia" w:asciiTheme="majorEastAsia" w:hAnsiTheme="majorEastAsia" w:eastAsiaTheme="majorEastAsia"/>
          <w:b/>
          <w:sz w:val="32"/>
          <w:szCs w:val="32"/>
          <w:lang w:val="en-US" w:eastAsia="zh-CN"/>
        </w:rPr>
        <w:t>20kg标准</w:t>
      </w:r>
      <w:r>
        <w:rPr>
          <w:rFonts w:hint="eastAsia" w:asciiTheme="majorEastAsia" w:hAnsiTheme="majorEastAsia" w:eastAsiaTheme="majorEastAsia"/>
          <w:b/>
          <w:sz w:val="32"/>
          <w:szCs w:val="32"/>
        </w:rPr>
        <w:t>砝码检定</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甲方：翔鹭石化（漳州）有限公司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就甲方委托乙方提供砝码检定服务相关事宜，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砝码</w:t>
      </w:r>
      <w:r>
        <w:rPr>
          <w:color w:val="000000"/>
          <w:sz w:val="24"/>
          <w:u w:val="single"/>
          <w:lang w:eastAsia="zh-CN"/>
        </w:rPr>
        <w:t xml:space="preserve"> </w:t>
      </w:r>
      <w:r>
        <w:rPr>
          <w:rFonts w:hint="eastAsia"/>
          <w:color w:val="000000"/>
          <w:sz w:val="24"/>
          <w:lang w:eastAsia="zh-CN"/>
        </w:rPr>
        <w:t>进行检定。</w:t>
      </w:r>
    </w:p>
    <w:p>
      <w:pPr>
        <w:spacing w:line="360" w:lineRule="auto"/>
        <w:ind w:firstLine="480" w:firstLineChars="200"/>
        <w:rPr>
          <w:color w:val="000000"/>
          <w:sz w:val="24"/>
          <w:lang w:eastAsia="zh-CN"/>
        </w:rPr>
      </w:pPr>
      <w:r>
        <w:rPr>
          <w:rFonts w:hint="eastAsia"/>
          <w:color w:val="000000"/>
          <w:sz w:val="24"/>
          <w:lang w:eastAsia="zh-CN"/>
        </w:rPr>
        <w:t>数量：120个</w:t>
      </w:r>
      <w:r>
        <w:rPr>
          <w:rFonts w:hint="eastAsia" w:asciiTheme="majorEastAsia" w:hAnsiTheme="majorEastAsia" w:eastAsiaTheme="majorEastAsia"/>
          <w:bCs/>
          <w:sz w:val="24"/>
          <w:szCs w:val="24"/>
          <w:lang w:eastAsia="zh-CN"/>
        </w:rPr>
        <w:t>（20kg/个）</w:t>
      </w: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1、乙方根据甲方要求按照约定的标准对砝码进行检定。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pPr>
        <w:pStyle w:val="2"/>
        <w:spacing w:line="360" w:lineRule="auto"/>
        <w:rPr>
          <w:sz w:val="24"/>
          <w:szCs w:val="24"/>
        </w:rPr>
      </w:pPr>
      <w:r>
        <w:rPr>
          <w:rFonts w:hint="eastAsia"/>
          <w:sz w:val="24"/>
        </w:rPr>
        <w:t xml:space="preserve">    5、乙方负责检定砝码的真实性能，确保检测数据准确可靠，检测时如发现被检砝码有缺陷，将通知甲方。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8"/>
        </w:numPr>
        <w:spacing w:line="360" w:lineRule="auto"/>
        <w:rPr>
          <w:rFonts w:hint="eastAsia"/>
          <w:sz w:val="24"/>
          <w:lang w:eastAsia="zh-CN"/>
        </w:rPr>
      </w:pPr>
      <w:r>
        <w:rPr>
          <w:rFonts w:hint="eastAsia"/>
          <w:sz w:val="24"/>
          <w:lang w:eastAsia="zh-CN"/>
        </w:rPr>
        <w:t>协议期限：</w:t>
      </w:r>
      <w:r>
        <w:rPr>
          <w:rFonts w:hint="eastAsia"/>
          <w:sz w:val="24"/>
          <w:lang w:val="en-US" w:eastAsia="zh-CN"/>
        </w:rPr>
        <w:t>1.</w:t>
      </w:r>
      <w:r>
        <w:rPr>
          <w:rFonts w:hint="eastAsia"/>
          <w:sz w:val="24"/>
          <w:lang w:eastAsia="zh-CN"/>
        </w:rPr>
        <w:t>2023年8月01日到期前一周检定完成并出具合格的《检定证书》。</w:t>
      </w:r>
    </w:p>
    <w:p>
      <w:pPr>
        <w:numPr>
          <w:ilvl w:val="0"/>
          <w:numId w:val="0"/>
        </w:numPr>
        <w:tabs>
          <w:tab w:val="left" w:pos="709"/>
        </w:tabs>
        <w:spacing w:line="360" w:lineRule="auto"/>
        <w:ind w:left="440" w:leftChars="0"/>
        <w:rPr>
          <w:rFonts w:hint="default"/>
          <w:lang w:val="en-US" w:eastAsia="zh-CN"/>
        </w:rPr>
      </w:pPr>
      <w:r>
        <w:rPr>
          <w:rFonts w:hint="eastAsia"/>
          <w:lang w:val="en-US" w:eastAsia="zh-CN"/>
        </w:rPr>
        <w:t>2.</w:t>
      </w:r>
      <w:r>
        <w:rPr>
          <w:rFonts w:hint="eastAsia"/>
          <w:lang w:eastAsia="zh-CN"/>
        </w:rPr>
        <w:t>签定两年（2023-2024年）检测年约。</w:t>
      </w:r>
    </w:p>
    <w:p>
      <w:pPr>
        <w:spacing w:line="360" w:lineRule="auto"/>
        <w:rPr>
          <w:rStyle w:val="79"/>
          <w:lang w:eastAsia="zh-CN"/>
        </w:rPr>
      </w:pPr>
      <w:r>
        <w:rPr>
          <w:rFonts w:hint="eastAsia"/>
          <w:sz w:val="24"/>
          <w:lang w:eastAsia="zh-CN"/>
        </w:rPr>
        <w:t>七、付款方式：无预付款，砝码检定完成后60日内，且收到乙方提供的全额增值税专用发票后，甲方支付应付合同款项。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bookmarkStart w:id="16" w:name="_GoBack"/>
      <w:bookmarkEnd w:id="16"/>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rPr>
          <w:rFonts w:cs="Arial" w:asciiTheme="majorEastAsia" w:hAnsiTheme="majorEastAsia" w:eastAsiaTheme="majorEastAsia"/>
          <w:b/>
          <w:szCs w:val="21"/>
          <w:lang w:eastAsia="zh-CN"/>
        </w:rPr>
      </w:pPr>
      <w:r>
        <w:rPr>
          <w:rFonts w:hint="eastAsia"/>
          <w:b/>
          <w:spacing w:val="20"/>
          <w:sz w:val="24"/>
          <w:lang w:eastAsia="zh-CN"/>
        </w:rPr>
        <w:t xml:space="preserve">翔鹭石化（漳州）有限公司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w:t>
      </w:r>
      <w:r>
        <w:rPr>
          <w:rFonts w:hint="eastAsia"/>
          <w:sz w:val="21"/>
          <w:szCs w:val="21"/>
          <w:lang w:eastAsia="zh-CN"/>
        </w:rPr>
        <w:t>福建省漳州市漳州古雷经济</w:t>
      </w:r>
      <w:r>
        <w:rPr>
          <w:rFonts w:hint="eastAsia" w:asciiTheme="majorEastAsia" w:hAnsiTheme="majorEastAsia" w:eastAsiaTheme="majorEastAsia"/>
          <w:szCs w:val="21"/>
          <w:lang w:eastAsia="zh-CN"/>
        </w:rPr>
        <w:t xml:space="preserve">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45" w:firstLineChars="450"/>
      </w:pPr>
      <w:r>
        <w:rPr>
          <w:rFonts w:hint="eastAsia"/>
          <w:sz w:val="21"/>
          <w:szCs w:val="21"/>
        </w:rPr>
        <w:t>开发区腾龙路86号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w:t>
      </w:r>
      <w:r>
        <w:rPr>
          <w:rFonts w:hint="eastAsia"/>
          <w:sz w:val="21"/>
          <w:szCs w:val="21"/>
          <w:lang w:eastAsia="zh-CN"/>
        </w:rPr>
        <w:t>中国银行漳州分行</w:t>
      </w:r>
      <w:r>
        <w:rPr>
          <w:rFonts w:hint="eastAsia" w:asciiTheme="majorEastAsia" w:hAnsiTheme="majorEastAsia" w:eastAsiaTheme="majorEastAsia"/>
          <w:szCs w:val="21"/>
          <w:lang w:eastAsia="zh-CN"/>
        </w:rPr>
        <w:t xml:space="preserve">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416958369985</w:t>
      </w:r>
      <w:r>
        <w:rPr>
          <w:rFonts w:hint="eastAsia" w:asciiTheme="majorEastAsia" w:hAnsiTheme="majorEastAsia" w:eastAsiaTheme="majorEastAsia"/>
          <w:szCs w:val="21"/>
          <w:lang w:eastAsia="zh-CN"/>
        </w:rPr>
        <w:t xml:space="preserve">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913506006765392255</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w:t>
      </w:r>
      <w:r>
        <w:rPr>
          <w:rFonts w:hint="eastAsia"/>
          <w:sz w:val="21"/>
          <w:szCs w:val="21"/>
          <w:lang w:eastAsia="zh-CN"/>
        </w:rPr>
        <w:t>0592-6808888</w:t>
      </w:r>
      <w:r>
        <w:rPr>
          <w:rFonts w:hint="eastAsia" w:asciiTheme="majorEastAsia" w:hAnsiTheme="majorEastAsia" w:eastAsiaTheme="majorEastAsia"/>
          <w:szCs w:val="21"/>
          <w:lang w:eastAsia="zh-CN"/>
        </w:rPr>
        <w:t xml:space="preserve">                    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翔鹭石化（漳州）有限公司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砝码检定</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9"/>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翔鹭石化（漳州）有限公司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20273"/>
      <w:bookmarkStart w:id="2" w:name="_Toc8520"/>
      <w:bookmarkStart w:id="3" w:name="_Toc4114"/>
      <w:bookmarkStart w:id="4" w:name="_Toc20180"/>
      <w:bookmarkStart w:id="5" w:name="_Toc14171"/>
      <w:bookmarkStart w:id="6" w:name="_Toc10991"/>
      <w:bookmarkStart w:id="7" w:name="_Toc352146655"/>
      <w:bookmarkStart w:id="8" w:name="_Toc385779252"/>
      <w:bookmarkStart w:id="9" w:name="_Toc31173"/>
      <w:bookmarkStart w:id="10" w:name="_Toc17959"/>
      <w:bookmarkStart w:id="11" w:name="_Toc27787"/>
      <w:bookmarkStart w:id="12" w:name="_Toc2239"/>
      <w:bookmarkStart w:id="13" w:name="_Toc31402"/>
      <w:bookmarkStart w:id="14" w:name="_Toc23434"/>
      <w:bookmarkStart w:id="15" w:name="_Toc18049"/>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20kg标准</w:t>
      </w:r>
      <w:r>
        <w:rPr>
          <w:rFonts w:hint="eastAsia" w:ascii="微软雅黑" w:hAnsi="微软雅黑" w:eastAsia="微软雅黑"/>
          <w:b/>
          <w:bCs/>
          <w:sz w:val="48"/>
          <w:szCs w:val="48"/>
          <w:lang w:eastAsia="zh-CN"/>
        </w:rPr>
        <w:t>砝码</w:t>
      </w:r>
      <w:r>
        <w:rPr>
          <w:rFonts w:hint="eastAsia" w:ascii="微软雅黑" w:hAnsi="微软雅黑" w:eastAsia="微软雅黑"/>
          <w:b/>
          <w:bCs/>
          <w:sz w:val="48"/>
          <w:szCs w:val="48"/>
          <w:lang w:val="en-US" w:eastAsia="zh-CN"/>
        </w:rPr>
        <w:t>委托</w:t>
      </w:r>
      <w:r>
        <w:rPr>
          <w:rFonts w:hint="eastAsia" w:ascii="微软雅黑" w:hAnsi="微软雅黑" w:eastAsia="微软雅黑"/>
          <w:b/>
          <w:bCs/>
          <w:sz w:val="48"/>
          <w:szCs w:val="48"/>
          <w:lang w:eastAsia="zh-CN"/>
        </w:rPr>
        <w:t>检定服务项目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4</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20KG标准砝码委托检定</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lang w:val="en-US" w:eastAsia="zh-CN"/>
        </w:rPr>
        <w:t>20KG标准砝码委托检定</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92"/>
        <w:gridCol w:w="1483"/>
        <w:gridCol w:w="1438"/>
        <w:gridCol w:w="1979"/>
        <w:gridCol w:w="187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序号</w:t>
            </w:r>
          </w:p>
        </w:tc>
        <w:tc>
          <w:tcPr>
            <w:tcW w:w="992" w:type="dxa"/>
            <w:shd w:val="clear" w:color="auto" w:fill="auto"/>
            <w:noWrap/>
            <w:vAlign w:val="center"/>
          </w:tcPr>
          <w:p>
            <w:pPr>
              <w:jc w:val="center"/>
              <w:rPr>
                <w:rFonts w:asciiTheme="minorEastAsia" w:hAnsiTheme="minorEastAsia" w:eastAsiaTheme="minorEastAsia"/>
                <w:sz w:val="21"/>
                <w:szCs w:val="21"/>
                <w:lang w:eastAsia="zh-CN"/>
              </w:rPr>
            </w:pPr>
            <w:r>
              <w:rPr>
                <w:rFonts w:hint="eastAsia"/>
                <w:sz w:val="21"/>
                <w:szCs w:val="21"/>
              </w:rPr>
              <w:t>名称</w:t>
            </w:r>
          </w:p>
        </w:tc>
        <w:tc>
          <w:tcPr>
            <w:tcW w:w="1483" w:type="dxa"/>
            <w:vAlign w:val="center"/>
          </w:tcPr>
          <w:p>
            <w:pPr>
              <w:ind w:firstLine="210" w:firstLineChars="100"/>
              <w:rPr>
                <w:rFonts w:asciiTheme="minorEastAsia" w:hAnsiTheme="minorEastAsia" w:eastAsiaTheme="minorEastAsia"/>
                <w:sz w:val="21"/>
                <w:szCs w:val="21"/>
                <w:lang w:eastAsia="zh-CN"/>
              </w:rPr>
            </w:pPr>
            <w:r>
              <w:rPr>
                <w:rFonts w:hint="eastAsia"/>
                <w:sz w:val="21"/>
                <w:szCs w:val="21"/>
              </w:rPr>
              <w:t>型号规格</w:t>
            </w:r>
          </w:p>
        </w:tc>
        <w:tc>
          <w:tcPr>
            <w:tcW w:w="1438"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数量</w:t>
            </w:r>
          </w:p>
        </w:tc>
        <w:tc>
          <w:tcPr>
            <w:tcW w:w="1979" w:type="dxa"/>
            <w:vAlign w:val="center"/>
          </w:tcPr>
          <w:p>
            <w:pPr>
              <w:ind w:firstLine="105" w:firstLineChars="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含税（单价）</w:t>
            </w:r>
          </w:p>
        </w:tc>
        <w:tc>
          <w:tcPr>
            <w:tcW w:w="1873" w:type="dxa"/>
            <w:vAlign w:val="center"/>
          </w:tcPr>
          <w:p>
            <w:pPr>
              <w:ind w:firstLine="315" w:firstLineChars="1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合计（元）</w:t>
            </w:r>
          </w:p>
        </w:tc>
        <w:tc>
          <w:tcPr>
            <w:tcW w:w="923" w:type="dxa"/>
            <w:vAlign w:val="center"/>
          </w:tcPr>
          <w:p>
            <w:pPr>
              <w:ind w:firstLine="210" w:firstLineChars="1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992"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sz w:val="21"/>
                <w:szCs w:val="21"/>
              </w:rPr>
              <w:t>砝码</w:t>
            </w:r>
          </w:p>
        </w:tc>
        <w:tc>
          <w:tcPr>
            <w:tcW w:w="1483"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20kg</w:t>
            </w:r>
          </w:p>
        </w:tc>
        <w:tc>
          <w:tcPr>
            <w:tcW w:w="1438" w:type="dxa"/>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120（个）</w:t>
            </w:r>
          </w:p>
        </w:tc>
        <w:tc>
          <w:tcPr>
            <w:tcW w:w="1979" w:type="dxa"/>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1873" w:type="dxa"/>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923" w:type="dxa"/>
            <w:vAlign w:val="center"/>
          </w:tcPr>
          <w:p>
            <w:pPr>
              <w:rPr>
                <w:rFonts w:asciiTheme="minorEastAsia" w:hAnsiTheme="minorEastAsia" w:eastAsiaTheme="minorEastAsia"/>
                <w:sz w:val="21"/>
                <w:szCs w:val="21"/>
                <w:lang w:eastAsia="zh-CN"/>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1F4F"/>
    <w:multiLevelType w:val="singleLevel"/>
    <w:tmpl w:val="C94A1F4F"/>
    <w:lvl w:ilvl="0" w:tentative="0">
      <w:start w:val="4"/>
      <w:numFmt w:val="decimal"/>
      <w:lvlText w:val="%1."/>
      <w:lvlJc w:val="left"/>
      <w:pPr>
        <w:tabs>
          <w:tab w:val="left" w:pos="312"/>
        </w:tabs>
        <w:ind w:left="-40"/>
      </w:p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3ED0D1C"/>
    <w:multiLevelType w:val="singleLevel"/>
    <w:tmpl w:val="53ED0D1C"/>
    <w:lvl w:ilvl="0" w:tentative="0">
      <w:start w:val="6"/>
      <w:numFmt w:val="chineseCounting"/>
      <w:suff w:val="nothing"/>
      <w:lvlText w:val="%1、"/>
      <w:lvlJc w:val="left"/>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6709D5"/>
    <w:rsid w:val="56A70955"/>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AB941FF"/>
    <w:rsid w:val="6BCB034D"/>
    <w:rsid w:val="6C0E1756"/>
    <w:rsid w:val="6C2B2406"/>
    <w:rsid w:val="6D1B5A5A"/>
    <w:rsid w:val="6E0F2E14"/>
    <w:rsid w:val="6E71313D"/>
    <w:rsid w:val="6F1E141D"/>
    <w:rsid w:val="6F5354F8"/>
    <w:rsid w:val="71D648EC"/>
    <w:rsid w:val="727810B8"/>
    <w:rsid w:val="7293546A"/>
    <w:rsid w:val="72E05B2C"/>
    <w:rsid w:val="73F81307"/>
    <w:rsid w:val="740A2BDE"/>
    <w:rsid w:val="74AB1011"/>
    <w:rsid w:val="751839E0"/>
    <w:rsid w:val="756178E9"/>
    <w:rsid w:val="75A1093B"/>
    <w:rsid w:val="75BE7C69"/>
    <w:rsid w:val="76274F93"/>
    <w:rsid w:val="775F730A"/>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10603</Words>
  <Characters>11013</Characters>
  <Lines>79</Lines>
  <Paragraphs>22</Paragraphs>
  <TotalTime>23</TotalTime>
  <ScaleCrop>false</ScaleCrop>
  <LinksUpToDate>false</LinksUpToDate>
  <CharactersWithSpaces>11989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2023-04-18T09:34:29Z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7EFD1898B78A4345BC21372367C648C1</vt:lpwstr>
  </property>
</Properties>
</file>