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ascii="宋体" w:hAnsi="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硫磺回收装置高效脱硫剂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2023-FHC-高效脱硫剂-0419</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21</w:t>
      </w:r>
      <w:bookmarkStart w:id="2" w:name="_GoBack"/>
      <w:bookmarkEnd w:id="2"/>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硫磺回收装置高效脱硫剂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硫磺回收装置高效脱硫剂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2023-FHC-高效脱硫剂-0419</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硫磺回收装置高效脱硫剂</w:t>
      </w:r>
      <w:r>
        <w:rPr>
          <w:rFonts w:hint="eastAsia" w:ascii="宋体" w:hAnsi="宋体" w:cs="宋体" w:eastAsiaTheme="minorEastAsia"/>
          <w:sz w:val="24"/>
        </w:rPr>
        <w:t>。</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硫磺回收装置高效脱硫剂</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及技术要求</w:t>
      </w:r>
      <w:r>
        <w:rPr>
          <w:rFonts w:hint="eastAsia" w:asciiTheme="minorEastAsia" w:hAnsiTheme="minorEastAsia" w:eastAsiaTheme="minorEastAsia"/>
          <w:bCs/>
          <w:sz w:val="24"/>
        </w:rPr>
        <w:t>。</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5"/>
        <w:numPr>
          <w:ilvl w:val="0"/>
          <w:numId w:val="3"/>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5"/>
        <w:numPr>
          <w:ilvl w:val="0"/>
          <w:numId w:val="3"/>
        </w:numPr>
        <w:spacing w:before="100" w:beforeAutospacing="1" w:after="100" w:afterAutospacing="1" w:line="300" w:lineRule="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属于福建福海创石油化工有限公司或中国石油化工集团有限公司或</w:t>
      </w:r>
      <w:r>
        <w:rPr>
          <w:rFonts w:hint="eastAsia" w:asciiTheme="minorEastAsia" w:hAnsiTheme="minorEastAsia" w:eastAsiaTheme="minorEastAsia"/>
          <w:bCs/>
          <w:sz w:val="24"/>
          <w:highlight w:val="none"/>
        </w:rPr>
        <w:fldChar w:fldCharType="begin"/>
      </w:r>
      <w:r>
        <w:rPr>
          <w:rFonts w:hint="eastAsia" w:asciiTheme="minorEastAsia" w:hAnsiTheme="minorEastAsia" w:eastAsiaTheme="minorEastAsia"/>
          <w:bCs/>
          <w:sz w:val="24"/>
          <w:highlight w:val="none"/>
        </w:rPr>
        <w:instrText xml:space="preserve"> HYPERLINK "http://www.baidu.com/link?url=ZYA2ANSxRzGwTSAnMQmFtVicINMq9OUNpKTJ21r1pCxY1Pg-bo-kGdl88GpXkxvjkQiNS5EBki5bPS0gC-oOIK" \t "_blank" </w:instrText>
      </w:r>
      <w:r>
        <w:rPr>
          <w:rFonts w:hint="eastAsia" w:asciiTheme="minorEastAsia" w:hAnsiTheme="minorEastAsia" w:eastAsiaTheme="minorEastAsia"/>
          <w:bCs/>
          <w:sz w:val="24"/>
          <w:highlight w:val="none"/>
        </w:rPr>
        <w:fldChar w:fldCharType="separate"/>
      </w:r>
      <w:r>
        <w:rPr>
          <w:rFonts w:hint="eastAsia" w:asciiTheme="minorEastAsia" w:hAnsiTheme="minorEastAsia" w:eastAsiaTheme="minorEastAsia"/>
          <w:bCs/>
          <w:sz w:val="24"/>
          <w:highlight w:val="none"/>
        </w:rPr>
        <w:t>中国石油天然气集团有限公司</w:t>
      </w:r>
      <w:r>
        <w:rPr>
          <w:rFonts w:hint="eastAsia" w:asciiTheme="minorEastAsia" w:hAnsiTheme="minorEastAsia" w:eastAsiaTheme="minorEastAsia"/>
          <w:bCs/>
          <w:sz w:val="24"/>
          <w:highlight w:val="none"/>
        </w:rPr>
        <w:fldChar w:fldCharType="end"/>
      </w:r>
      <w:r>
        <w:rPr>
          <w:rFonts w:hint="eastAsia" w:asciiTheme="minorEastAsia" w:hAnsiTheme="minorEastAsia" w:eastAsiaTheme="minorEastAsia"/>
          <w:bCs/>
          <w:sz w:val="24"/>
          <w:highlight w:val="none"/>
        </w:rPr>
        <w:t>或中国海洋石油集团有限公司合格供应商。</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需提供</w:t>
      </w:r>
      <w:r>
        <w:rPr>
          <w:rFonts w:hint="eastAsia" w:asciiTheme="minorEastAsia" w:hAnsiTheme="minorEastAsia" w:eastAsiaTheme="minorEastAsia"/>
          <w:bCs/>
          <w:sz w:val="24"/>
          <w:highlight w:val="none"/>
        </w:rPr>
        <w:t>近三年同类装置的销售业绩</w:t>
      </w:r>
      <w:r>
        <w:rPr>
          <w:rFonts w:hint="eastAsia" w:asciiTheme="minorEastAsia" w:hAnsiTheme="minorEastAsia" w:eastAsiaTheme="minorEastAsia"/>
          <w:bCs/>
          <w:sz w:val="24"/>
          <w:highlight w:val="none"/>
          <w:lang w:val="en-US" w:eastAsia="zh-CN"/>
        </w:rPr>
        <w:t>（合同或发票）。</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壹拾万元</w:t>
      </w:r>
      <w:r>
        <w:rPr>
          <w:rFonts w:hint="eastAsia" w:asciiTheme="minorEastAsia" w:hAnsiTheme="minorEastAsia" w:eastAsiaTheme="minorEastAsia"/>
          <w:bCs/>
          <w:sz w:val="24"/>
          <w:highlight w:val="yellow"/>
        </w:rPr>
        <w:t>整。</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5"/>
        <w:numPr>
          <w:ilvl w:val="0"/>
          <w:numId w:val="4"/>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日（含当日）</w:t>
      </w:r>
    </w:p>
    <w:p>
      <w:pPr>
        <w:pStyle w:val="15"/>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hint="eastAsia" w:asciiTheme="minorEastAsia" w:hAnsiTheme="minorEastAsia" w:eastAsiaTheme="minorEastAsia"/>
          <w:sz w:val="24"/>
          <w:lang w:val="en-US" w:eastAsia="zh-CN"/>
        </w:rPr>
      </w:pPr>
      <w:r>
        <w:rPr>
          <w:rFonts w:hint="eastAsia" w:asciiTheme="minorEastAsia" w:hAnsiTheme="minorEastAsia" w:eastAsiaTheme="minorEastAsia"/>
          <w:bCs/>
          <w:sz w:val="24"/>
          <w:lang w:val="en-US" w:eastAsia="zh-CN"/>
        </w:rPr>
        <w:t>（3）提供</w:t>
      </w:r>
      <w:r>
        <w:rPr>
          <w:rFonts w:hint="eastAsia" w:asciiTheme="minorEastAsia" w:hAnsiTheme="minorEastAsia" w:eastAsiaTheme="minorEastAsia"/>
          <w:bCs/>
          <w:sz w:val="24"/>
          <w:lang w:eastAsia="zh-CN"/>
        </w:rPr>
        <w:t>三年同类装置的销售业绩</w:t>
      </w:r>
      <w:r>
        <w:rPr>
          <w:rFonts w:hint="eastAsia" w:asciiTheme="minorEastAsia" w:hAnsiTheme="minorEastAsia" w:eastAsiaTheme="minorEastAsia"/>
          <w:bCs/>
          <w:sz w:val="24"/>
          <w:lang w:val="en-US" w:eastAsia="zh-CN"/>
        </w:rPr>
        <w:t>（合同或发票）。</w:t>
      </w:r>
    </w:p>
    <w:p>
      <w:pPr>
        <w:pStyle w:val="15"/>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壹拾万元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5"/>
        <w:numPr>
          <w:ilvl w:val="0"/>
          <w:numId w:val="4"/>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5"/>
        <w:keepNext w:val="0"/>
        <w:keepLines w:val="0"/>
        <w:pageBreakBefore w:val="0"/>
        <w:widowControl w:val="0"/>
        <w:kinsoku/>
        <w:wordWrap/>
        <w:overflowPunct/>
        <w:topLinePunct w:val="0"/>
        <w:autoSpaceDE/>
        <w:autoSpaceDN/>
        <w:bidi w:val="0"/>
        <w:spacing w:before="0" w:line="300" w:lineRule="auto"/>
        <w:ind w:left="832" w:firstLine="480" w:firstLineChars="20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5"/>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5"/>
        <w:numPr>
          <w:ilvl w:val="0"/>
          <w:numId w:val="5"/>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李华彬</w:t>
      </w:r>
      <w:r>
        <w:rPr>
          <w:rFonts w:hint="eastAsia" w:asciiTheme="minorEastAsia" w:hAnsiTheme="minorEastAsia" w:eastAsiaTheme="minorEastAsia"/>
          <w:bCs/>
          <w:sz w:val="24"/>
        </w:rPr>
        <w:t xml:space="preserve"> 电话：13625904353 邮箱：</w:t>
      </w:r>
      <w:r>
        <w:rPr>
          <w:rFonts w:hint="eastAsia" w:asciiTheme="minorEastAsia" w:hAnsiTheme="minorEastAsia" w:eastAsiaTheme="minorEastAsia"/>
          <w:bCs/>
          <w:sz w:val="24"/>
          <w:lang w:val="en-US" w:eastAsia="zh-CN"/>
        </w:rPr>
        <w:t>hbli</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pStyle w:val="2"/>
        <w:rPr>
          <w:rFonts w:hint="eastAsia"/>
          <w:lang w:val="en-US"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520" w:firstLineChars="23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21</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硫磺回收装置高效脱硫剂</w:t>
      </w:r>
      <w:r>
        <w:rPr>
          <w:rFonts w:hint="eastAsia" w:ascii="宋体" w:hAnsi="宋体"/>
          <w:sz w:val="18"/>
          <w:szCs w:val="18"/>
          <w:u w:val="single"/>
        </w:rPr>
        <w:t>。</w:t>
      </w:r>
    </w:p>
    <w:p>
      <w:pPr>
        <w:pStyle w:val="18"/>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sz w:val="18"/>
          <w:szCs w:val="18"/>
        </w:rPr>
      </w:pPr>
      <w:r>
        <w:rPr>
          <w:rFonts w:hint="eastAsia" w:ascii="宋体"/>
          <w:sz w:val="18"/>
          <w:szCs w:val="18"/>
        </w:rPr>
        <w:t>（4）与比选人无诉讼纠纷。</w:t>
      </w:r>
    </w:p>
    <w:p>
      <w:pPr>
        <w:spacing w:line="320" w:lineRule="exact"/>
        <w:rPr>
          <w:rFonts w:hint="eastAsia" w:ascii="宋体"/>
          <w:sz w:val="18"/>
          <w:szCs w:val="18"/>
          <w:lang w:eastAsia="zh-CN"/>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）属于福建福海创石油化工有限公司或中国石油化工集团有限公司或</w:t>
      </w:r>
      <w:r>
        <w:rPr>
          <w:rFonts w:hint="eastAsia" w:ascii="宋体"/>
          <w:sz w:val="18"/>
          <w:szCs w:val="18"/>
          <w:lang w:eastAsia="zh-CN"/>
        </w:rPr>
        <w:fldChar w:fldCharType="begin"/>
      </w:r>
      <w:r>
        <w:rPr>
          <w:rFonts w:hint="eastAsia" w:ascii="宋体"/>
          <w:sz w:val="18"/>
          <w:szCs w:val="18"/>
          <w:lang w:eastAsia="zh-CN"/>
        </w:rPr>
        <w:instrText xml:space="preserve"> HYPERLINK "http://www.baidu.com/link?url=ZYA2ANSxRzGwTSAnMQmFtVicINMq9OUNpKTJ21r1pCxY1Pg-bo-kGdl88GpXkxvjkQiNS5EBki5bPS0gC-oOIK" \t "_blank" </w:instrText>
      </w:r>
      <w:r>
        <w:rPr>
          <w:rFonts w:hint="eastAsia" w:ascii="宋体"/>
          <w:sz w:val="18"/>
          <w:szCs w:val="18"/>
          <w:lang w:eastAsia="zh-CN"/>
        </w:rPr>
        <w:fldChar w:fldCharType="separate"/>
      </w:r>
      <w:r>
        <w:rPr>
          <w:rFonts w:hint="eastAsia" w:ascii="宋体"/>
          <w:sz w:val="18"/>
          <w:szCs w:val="18"/>
          <w:lang w:eastAsia="zh-CN"/>
        </w:rPr>
        <w:t>中国石油天然气集团有限公司</w:t>
      </w:r>
      <w:r>
        <w:rPr>
          <w:rFonts w:hint="eastAsia" w:ascii="宋体"/>
          <w:sz w:val="18"/>
          <w:szCs w:val="18"/>
          <w:lang w:eastAsia="zh-CN"/>
        </w:rPr>
        <w:fldChar w:fldCharType="end"/>
      </w:r>
      <w:r>
        <w:rPr>
          <w:rFonts w:hint="eastAsia" w:ascii="宋体"/>
          <w:sz w:val="18"/>
          <w:szCs w:val="18"/>
          <w:lang w:eastAsia="zh-CN"/>
        </w:rPr>
        <w:t>或中国海洋石油集团有限公司合格供应商。</w:t>
      </w:r>
    </w:p>
    <w:p>
      <w:pPr>
        <w:spacing w:line="320" w:lineRule="exact"/>
        <w:rPr>
          <w:rFonts w:hint="eastAsia" w:ascii="宋体"/>
          <w:sz w:val="18"/>
          <w:szCs w:val="18"/>
        </w:rPr>
      </w:pPr>
      <w:r>
        <w:rPr>
          <w:rFonts w:hint="eastAsia" w:ascii="宋体"/>
          <w:sz w:val="18"/>
          <w:szCs w:val="18"/>
          <w:lang w:val="en-US" w:eastAsia="zh-CN"/>
        </w:rPr>
        <w:t>（6）需提供</w:t>
      </w:r>
      <w:r>
        <w:rPr>
          <w:rFonts w:hint="eastAsia" w:ascii="宋体"/>
          <w:sz w:val="18"/>
          <w:szCs w:val="18"/>
        </w:rPr>
        <w:t>近三年同类装置的销售业绩</w:t>
      </w:r>
      <w:r>
        <w:rPr>
          <w:rFonts w:hint="eastAsia" w:ascii="宋体"/>
          <w:sz w:val="18"/>
          <w:szCs w:val="18"/>
          <w:lang w:val="en-US" w:eastAsia="zh-CN"/>
        </w:rPr>
        <w:t>（合同或发票）。</w:t>
      </w:r>
    </w:p>
    <w:p>
      <w:pPr>
        <w:spacing w:line="320" w:lineRule="exact"/>
        <w:rPr>
          <w:rFonts w:ascii="宋体"/>
          <w:sz w:val="18"/>
          <w:szCs w:val="18"/>
          <w:highlight w:val="none"/>
        </w:rPr>
      </w:pPr>
      <w:r>
        <w:rPr>
          <w:rFonts w:hint="eastAsia" w:ascii="宋体"/>
          <w:sz w:val="18"/>
          <w:szCs w:val="18"/>
        </w:rPr>
        <w:t>（</w:t>
      </w:r>
      <w:r>
        <w:rPr>
          <w:rFonts w:hint="eastAsia" w:ascii="宋体"/>
          <w:sz w:val="18"/>
          <w:szCs w:val="18"/>
          <w:lang w:val="en-US" w:eastAsia="zh-CN"/>
        </w:rPr>
        <w:t>7</w:t>
      </w:r>
      <w:r>
        <w:rPr>
          <w:rFonts w:hint="eastAsia" w:ascii="宋体"/>
          <w:sz w:val="18"/>
          <w:szCs w:val="18"/>
        </w:rPr>
        <w:t>）</w:t>
      </w:r>
      <w:r>
        <w:rPr>
          <w:rFonts w:hint="eastAsia" w:ascii="宋体"/>
          <w:sz w:val="18"/>
          <w:szCs w:val="18"/>
          <w:highlight w:val="none"/>
        </w:rPr>
        <w:t>参选保证金：</w:t>
      </w:r>
      <w:r>
        <w:rPr>
          <w:rFonts w:hint="eastAsia" w:ascii="宋体"/>
          <w:sz w:val="18"/>
          <w:szCs w:val="18"/>
          <w:highlight w:val="none"/>
          <w:lang w:val="en-US" w:eastAsia="zh-CN"/>
        </w:rPr>
        <w:t>壹拾万元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highlight w:val="yellow"/>
        </w:rPr>
      </w:pPr>
      <w:r>
        <w:rPr>
          <w:rFonts w:ascii="宋体" w:hAnsi="宋体"/>
          <w:sz w:val="18"/>
          <w:szCs w:val="18"/>
          <w:highlight w:val="yellow"/>
        </w:rPr>
        <w:t>4.</w:t>
      </w:r>
      <w:r>
        <w:rPr>
          <w:rFonts w:hint="eastAsia" w:ascii="宋体" w:hAnsi="宋体"/>
          <w:sz w:val="18"/>
          <w:szCs w:val="18"/>
          <w:highlight w:val="yellow"/>
        </w:rPr>
        <w:t>公开比选请按以</w:t>
      </w:r>
      <w:r>
        <w:rPr>
          <w:rFonts w:hint="eastAsia" w:ascii="宋体" w:hAnsi="宋体"/>
          <w:sz w:val="18"/>
          <w:szCs w:val="18"/>
          <w:highlight w:val="yellow"/>
          <w:lang w:val="en-US" w:eastAsia="zh-CN"/>
        </w:rPr>
        <w:t>下</w:t>
      </w:r>
      <w:r>
        <w:rPr>
          <w:rFonts w:hint="eastAsia" w:ascii="宋体" w:hAnsi="宋体"/>
          <w:sz w:val="18"/>
          <w:szCs w:val="18"/>
          <w:highlight w:val="yellow"/>
        </w:rPr>
        <w:t>要求密封报价。</w:t>
      </w:r>
      <w:r>
        <w:rPr>
          <w:rFonts w:hint="eastAsia" w:ascii="宋体" w:hAnsi="宋体"/>
          <w:sz w:val="18"/>
          <w:szCs w:val="18"/>
          <w:highlight w:val="yellow"/>
          <w:lang w:val="en-US" w:eastAsia="zh-CN"/>
        </w:rPr>
        <w:t>参选人递交的参选</w:t>
      </w:r>
      <w:r>
        <w:rPr>
          <w:rFonts w:hint="eastAsia" w:ascii="宋体" w:hAnsi="宋体"/>
          <w:sz w:val="18"/>
          <w:szCs w:val="18"/>
          <w:highlight w:val="yellow"/>
        </w:rPr>
        <w:t>文件分为二册，第一册为</w:t>
      </w:r>
      <w:r>
        <w:rPr>
          <w:rFonts w:hint="eastAsia" w:ascii="宋体" w:hAnsi="宋体"/>
          <w:sz w:val="18"/>
          <w:szCs w:val="18"/>
          <w:highlight w:val="yellow"/>
          <w:lang w:eastAsia="zh-CN"/>
        </w:rPr>
        <w:t>商务</w:t>
      </w:r>
      <w:r>
        <w:rPr>
          <w:rFonts w:hint="eastAsia" w:ascii="宋体" w:hAnsi="宋体"/>
          <w:sz w:val="18"/>
          <w:szCs w:val="18"/>
          <w:highlight w:val="yellow"/>
        </w:rPr>
        <w:t>文件，第二册为技术文件，其内容分别为：</w:t>
      </w:r>
    </w:p>
    <w:p>
      <w:pPr>
        <w:spacing w:line="320" w:lineRule="exact"/>
        <w:rPr>
          <w:rFonts w:hint="eastAsia" w:ascii="宋体" w:hAnsi="宋体"/>
          <w:sz w:val="18"/>
          <w:szCs w:val="18"/>
          <w:highlight w:val="yellow"/>
        </w:rPr>
      </w:pPr>
      <w:r>
        <w:rPr>
          <w:rFonts w:hint="eastAsia" w:ascii="宋体" w:hAnsi="宋体"/>
          <w:sz w:val="18"/>
          <w:szCs w:val="18"/>
          <w:highlight w:val="yellow"/>
          <w:lang w:val="en-US" w:eastAsia="zh-CN"/>
        </w:rPr>
        <w:t>4.1</w:t>
      </w:r>
      <w:r>
        <w:rPr>
          <w:rFonts w:hint="eastAsia" w:ascii="宋体" w:hAnsi="宋体"/>
          <w:sz w:val="18"/>
          <w:szCs w:val="18"/>
          <w:highlight w:val="yellow"/>
        </w:rPr>
        <w:t xml:space="preserve"> 第一册</w:t>
      </w:r>
      <w:r>
        <w:rPr>
          <w:rFonts w:hint="eastAsia" w:ascii="宋体" w:hAnsi="宋体"/>
          <w:sz w:val="18"/>
          <w:szCs w:val="18"/>
          <w:highlight w:val="yellow"/>
          <w:lang w:eastAsia="zh-CN"/>
        </w:rPr>
        <w:t>商务</w:t>
      </w:r>
      <w:r>
        <w:rPr>
          <w:rFonts w:hint="eastAsia" w:ascii="宋体" w:hAnsi="宋体"/>
          <w:sz w:val="18"/>
          <w:szCs w:val="18"/>
          <w:highlight w:val="yellow"/>
        </w:rPr>
        <w:t>文件包含以下内容：</w:t>
      </w:r>
    </w:p>
    <w:p>
      <w:pPr>
        <w:spacing w:line="320" w:lineRule="exact"/>
        <w:rPr>
          <w:rFonts w:ascii="宋体" w:hAnsi="宋体"/>
          <w:sz w:val="18"/>
          <w:szCs w:val="18"/>
          <w:highlight w:val="yellow"/>
        </w:rPr>
      </w:pPr>
      <w:r>
        <w:rPr>
          <w:rFonts w:hint="eastAsia" w:ascii="宋体" w:hAnsi="宋体"/>
          <w:sz w:val="18"/>
          <w:szCs w:val="18"/>
          <w:highlight w:val="yellow"/>
        </w:rPr>
        <w:t>（</w:t>
      </w:r>
      <w:r>
        <w:rPr>
          <w:rFonts w:ascii="宋体" w:hAnsi="宋体"/>
          <w:sz w:val="18"/>
          <w:szCs w:val="18"/>
          <w:highlight w:val="yellow"/>
        </w:rPr>
        <w:t>1</w:t>
      </w:r>
      <w:r>
        <w:rPr>
          <w:rFonts w:hint="eastAsia" w:ascii="宋体" w:hAnsi="宋体"/>
          <w:sz w:val="18"/>
          <w:szCs w:val="18"/>
          <w:highlight w:val="yellow"/>
        </w:rPr>
        <w:t>）比选公告</w:t>
      </w:r>
    </w:p>
    <w:p>
      <w:pPr>
        <w:spacing w:line="320" w:lineRule="exact"/>
        <w:rPr>
          <w:rFonts w:ascii="宋体" w:hAnsi="宋体"/>
          <w:sz w:val="18"/>
          <w:szCs w:val="18"/>
          <w:highlight w:val="yellow"/>
        </w:rPr>
      </w:pPr>
      <w:r>
        <w:rPr>
          <w:rFonts w:hint="eastAsia" w:ascii="宋体" w:hAnsi="宋体"/>
          <w:sz w:val="18"/>
          <w:szCs w:val="18"/>
          <w:highlight w:val="yellow"/>
        </w:rPr>
        <w:t>（2）参选规定及说明</w:t>
      </w:r>
    </w:p>
    <w:p>
      <w:pPr>
        <w:spacing w:line="320" w:lineRule="exact"/>
        <w:rPr>
          <w:rFonts w:ascii="宋体" w:hAnsi="宋体"/>
          <w:sz w:val="18"/>
          <w:szCs w:val="18"/>
          <w:highlight w:val="yellow"/>
        </w:rPr>
      </w:pPr>
      <w:r>
        <w:rPr>
          <w:rFonts w:hint="eastAsia" w:ascii="宋体" w:hAnsi="宋体"/>
          <w:sz w:val="18"/>
          <w:szCs w:val="18"/>
          <w:highlight w:val="yellow"/>
        </w:rPr>
        <w:t>（3）公开比选文件</w:t>
      </w:r>
    </w:p>
    <w:p>
      <w:pPr>
        <w:spacing w:line="320" w:lineRule="exact"/>
        <w:rPr>
          <w:rFonts w:ascii="宋体" w:hAnsi="宋体"/>
          <w:sz w:val="18"/>
          <w:szCs w:val="18"/>
          <w:highlight w:val="yellow"/>
        </w:rPr>
      </w:pPr>
      <w:r>
        <w:rPr>
          <w:rFonts w:hint="eastAsia" w:ascii="宋体" w:hAnsi="宋体"/>
          <w:sz w:val="18"/>
          <w:szCs w:val="18"/>
          <w:highlight w:val="yellow"/>
        </w:rPr>
        <w:t>（4）参选书</w:t>
      </w:r>
    </w:p>
    <w:p>
      <w:pPr>
        <w:spacing w:line="320" w:lineRule="exact"/>
        <w:rPr>
          <w:rFonts w:ascii="宋体" w:hAnsi="宋体"/>
          <w:sz w:val="18"/>
          <w:szCs w:val="18"/>
          <w:highlight w:val="yellow"/>
        </w:rPr>
      </w:pPr>
      <w:r>
        <w:rPr>
          <w:rFonts w:hint="eastAsia" w:ascii="宋体" w:hAnsi="宋体"/>
          <w:sz w:val="18"/>
          <w:szCs w:val="18"/>
          <w:highlight w:val="yellow"/>
        </w:rPr>
        <w:t>（5）法定代表人授权书</w:t>
      </w:r>
    </w:p>
    <w:p>
      <w:pPr>
        <w:spacing w:line="320" w:lineRule="exact"/>
        <w:rPr>
          <w:rFonts w:hint="eastAsia" w:ascii="宋体" w:hAnsi="宋体"/>
          <w:sz w:val="18"/>
          <w:szCs w:val="18"/>
          <w:highlight w:val="yellow"/>
        </w:rPr>
      </w:pPr>
      <w:r>
        <w:rPr>
          <w:rFonts w:hint="eastAsia" w:ascii="宋体" w:hAnsi="宋体"/>
          <w:sz w:val="18"/>
          <w:szCs w:val="18"/>
          <w:highlight w:val="yellow"/>
        </w:rPr>
        <w:t>（6）报价单</w:t>
      </w:r>
    </w:p>
    <w:p>
      <w:pPr>
        <w:spacing w:line="320" w:lineRule="exact"/>
        <w:rPr>
          <w:rFonts w:hint="eastAsia" w:ascii="宋体" w:hAnsi="宋体" w:eastAsia="宋体"/>
          <w:sz w:val="18"/>
          <w:szCs w:val="18"/>
          <w:highlight w:val="yellow"/>
          <w:lang w:eastAsia="zh-CN"/>
        </w:rPr>
      </w:pPr>
      <w:r>
        <w:rPr>
          <w:rFonts w:hint="eastAsia" w:ascii="宋体" w:hAnsi="宋体"/>
          <w:sz w:val="18"/>
          <w:szCs w:val="18"/>
          <w:highlight w:val="yellow"/>
          <w:lang w:eastAsia="zh-CN"/>
        </w:rPr>
        <w:t>（</w:t>
      </w:r>
      <w:r>
        <w:rPr>
          <w:rFonts w:hint="eastAsia" w:ascii="宋体" w:hAnsi="宋体"/>
          <w:sz w:val="18"/>
          <w:szCs w:val="18"/>
          <w:highlight w:val="yellow"/>
          <w:lang w:val="en-US" w:eastAsia="zh-CN"/>
        </w:rPr>
        <w:t>7</w:t>
      </w:r>
      <w:r>
        <w:rPr>
          <w:rFonts w:hint="eastAsia" w:ascii="宋体" w:hAnsi="宋体"/>
          <w:sz w:val="18"/>
          <w:szCs w:val="18"/>
          <w:highlight w:val="yellow"/>
          <w:lang w:eastAsia="zh-CN"/>
        </w:rPr>
        <w:t>）</w:t>
      </w:r>
      <w:r>
        <w:rPr>
          <w:rFonts w:hint="eastAsia" w:ascii="宋体" w:hAnsi="宋体"/>
          <w:sz w:val="18"/>
          <w:szCs w:val="18"/>
          <w:highlight w:val="yellow"/>
          <w:lang w:val="en-US" w:eastAsia="zh-CN"/>
        </w:rPr>
        <w:t>技术要求</w:t>
      </w:r>
    </w:p>
    <w:p>
      <w:pPr>
        <w:spacing w:line="320" w:lineRule="exact"/>
        <w:rPr>
          <w:rFonts w:hint="eastAsia" w:ascii="宋体" w:hAnsi="宋体"/>
          <w:sz w:val="18"/>
          <w:szCs w:val="18"/>
          <w:highlight w:val="yellow"/>
        </w:rPr>
      </w:pPr>
      <w:r>
        <w:rPr>
          <w:rFonts w:hint="eastAsia" w:ascii="宋体" w:hAnsi="宋体"/>
          <w:sz w:val="18"/>
          <w:szCs w:val="18"/>
          <w:highlight w:val="yellow"/>
          <w:lang w:val="en-US" w:eastAsia="zh-CN"/>
        </w:rPr>
        <w:t>4.2</w:t>
      </w:r>
      <w:r>
        <w:rPr>
          <w:rFonts w:hint="eastAsia" w:ascii="宋体" w:hAnsi="宋体"/>
          <w:sz w:val="18"/>
          <w:szCs w:val="18"/>
          <w:highlight w:val="yellow"/>
        </w:rPr>
        <w:t xml:space="preserve"> 第二册技术文件包含以下内容：</w:t>
      </w:r>
    </w:p>
    <w:p>
      <w:pPr>
        <w:spacing w:line="320" w:lineRule="exact"/>
      </w:pPr>
      <w:r>
        <w:rPr>
          <w:rFonts w:hint="eastAsia" w:ascii="宋体" w:hAnsi="宋体"/>
          <w:sz w:val="18"/>
          <w:szCs w:val="18"/>
          <w:highlight w:val="yellow"/>
        </w:rPr>
        <w:t>公司资质</w:t>
      </w:r>
      <w:r>
        <w:rPr>
          <w:rFonts w:hint="eastAsia" w:ascii="宋体" w:hAnsi="宋体"/>
          <w:sz w:val="18"/>
          <w:szCs w:val="18"/>
          <w:highlight w:val="yellow"/>
          <w:lang w:eastAsia="zh-CN"/>
        </w:rPr>
        <w:t>、</w:t>
      </w:r>
      <w:r>
        <w:rPr>
          <w:rFonts w:hint="eastAsia" w:ascii="宋体" w:hAnsi="宋体"/>
          <w:sz w:val="18"/>
          <w:szCs w:val="18"/>
          <w:highlight w:val="yellow"/>
        </w:rPr>
        <w:t>同类业绩</w:t>
      </w:r>
      <w:r>
        <w:rPr>
          <w:rFonts w:hint="eastAsia" w:ascii="宋体" w:hAnsi="宋体"/>
          <w:sz w:val="18"/>
          <w:szCs w:val="18"/>
          <w:highlight w:val="yellow"/>
          <w:lang w:val="en-US" w:eastAsia="zh-CN"/>
        </w:rPr>
        <w:t>资料</w:t>
      </w:r>
      <w:r>
        <w:rPr>
          <w:rFonts w:hint="eastAsia" w:ascii="宋体" w:hAnsi="宋体"/>
          <w:sz w:val="18"/>
          <w:szCs w:val="18"/>
          <w:highlight w:val="yellow"/>
          <w:lang w:eastAsia="zh-CN"/>
        </w:rPr>
        <w:t>、</w:t>
      </w:r>
      <w:r>
        <w:rPr>
          <w:rFonts w:hint="eastAsia" w:ascii="宋体" w:hAnsi="宋体"/>
          <w:sz w:val="18"/>
          <w:szCs w:val="18"/>
          <w:highlight w:val="yellow"/>
          <w:lang w:val="en-US" w:eastAsia="zh-CN"/>
        </w:rPr>
        <w:t>产品</w:t>
      </w:r>
      <w:r>
        <w:rPr>
          <w:rFonts w:hint="eastAsia" w:ascii="宋体" w:hAnsi="宋体"/>
          <w:sz w:val="18"/>
          <w:szCs w:val="18"/>
          <w:highlight w:val="yellow"/>
          <w:lang w:eastAsia="zh-CN"/>
        </w:rPr>
        <w:t>物化性质、</w:t>
      </w:r>
      <w:r>
        <w:rPr>
          <w:rFonts w:hint="eastAsia" w:ascii="宋体" w:hAnsi="宋体"/>
          <w:sz w:val="18"/>
          <w:szCs w:val="18"/>
          <w:highlight w:val="yellow"/>
          <w:lang w:val="en-US" w:eastAsia="zh-CN"/>
        </w:rPr>
        <w:t>产品性能保证、</w:t>
      </w:r>
      <w:r>
        <w:rPr>
          <w:rFonts w:hint="eastAsia" w:ascii="宋体" w:hAnsi="宋体"/>
          <w:sz w:val="18"/>
          <w:szCs w:val="18"/>
          <w:highlight w:val="yellow"/>
          <w:lang w:eastAsia="zh-CN"/>
        </w:rPr>
        <w:t>供货</w:t>
      </w:r>
      <w:r>
        <w:rPr>
          <w:rFonts w:hint="eastAsia" w:ascii="宋体" w:hAnsi="宋体"/>
          <w:sz w:val="18"/>
          <w:szCs w:val="18"/>
          <w:highlight w:val="yellow"/>
          <w:lang w:val="en-US" w:eastAsia="zh-CN"/>
        </w:rPr>
        <w:t>周</w:t>
      </w:r>
      <w:r>
        <w:rPr>
          <w:rFonts w:hint="eastAsia" w:ascii="宋体" w:hAnsi="宋体"/>
          <w:sz w:val="18"/>
          <w:szCs w:val="18"/>
          <w:highlight w:val="yellow"/>
          <w:lang w:eastAsia="zh-CN"/>
        </w:rPr>
        <w:t>期、技术服务、包装运输</w:t>
      </w:r>
      <w:r>
        <w:rPr>
          <w:rFonts w:hint="eastAsia" w:ascii="宋体" w:hAnsi="宋体"/>
          <w:sz w:val="18"/>
          <w:szCs w:val="18"/>
          <w:highlight w:val="yellow"/>
          <w:lang w:val="en-US" w:eastAsia="zh-CN"/>
        </w:rPr>
        <w:t>等内容</w:t>
      </w:r>
      <w:r>
        <w:rPr>
          <w:rFonts w:hint="eastAsia" w:ascii="宋体" w:hAnsi="宋体"/>
          <w:sz w:val="18"/>
          <w:szCs w:val="18"/>
          <w:highlight w:val="yellow"/>
        </w:rPr>
        <w:t>。</w:t>
      </w:r>
    </w:p>
    <w:p>
      <w:pPr>
        <w:spacing w:line="320" w:lineRule="exact"/>
        <w:rPr>
          <w:rFonts w:ascii="宋体" w:hAnsi="宋体"/>
          <w:sz w:val="18"/>
          <w:szCs w:val="18"/>
          <w:highlight w:val="yellow"/>
        </w:rPr>
      </w:pPr>
      <w:r>
        <w:rPr>
          <w:rFonts w:hint="eastAsia" w:ascii="宋体" w:hAnsi="宋体"/>
          <w:b/>
          <w:bCs/>
          <w:sz w:val="18"/>
          <w:szCs w:val="18"/>
          <w:highlight w:val="yellow"/>
          <w:lang w:val="en-US" w:eastAsia="zh-CN"/>
        </w:rPr>
        <w:t>5.参选人密封参选书，</w:t>
      </w:r>
      <w:r>
        <w:rPr>
          <w:rFonts w:hint="eastAsia" w:ascii="宋体" w:hAnsi="宋体"/>
          <w:b/>
          <w:bCs/>
          <w:sz w:val="18"/>
          <w:szCs w:val="18"/>
          <w:highlight w:val="yellow"/>
        </w:rPr>
        <w:t>第一册《</w:t>
      </w:r>
      <w:r>
        <w:rPr>
          <w:rFonts w:hint="eastAsia" w:ascii="宋体" w:hAnsi="宋体"/>
          <w:b/>
          <w:bCs/>
          <w:sz w:val="18"/>
          <w:szCs w:val="18"/>
          <w:highlight w:val="yellow"/>
          <w:lang w:eastAsia="zh-CN"/>
        </w:rPr>
        <w:t>商务</w:t>
      </w:r>
      <w:r>
        <w:rPr>
          <w:rFonts w:hint="eastAsia" w:ascii="宋体" w:hAnsi="宋体"/>
          <w:b/>
          <w:bCs/>
          <w:sz w:val="18"/>
          <w:szCs w:val="18"/>
          <w:highlight w:val="yellow"/>
        </w:rPr>
        <w:t>文件》、第二册《技术文件》必须分别单独装订、分别单独包封</w:t>
      </w:r>
      <w:r>
        <w:rPr>
          <w:rFonts w:hint="eastAsia" w:ascii="宋体" w:hAnsi="宋体"/>
          <w:b/>
          <w:bCs/>
          <w:sz w:val="18"/>
          <w:szCs w:val="18"/>
          <w:highlight w:val="yellow"/>
          <w:lang w:eastAsia="zh-CN"/>
        </w:rPr>
        <w:t>；装订、密封和标识后，需要进行总包封（即密封在同一个封套中），所有电子文档与第一册包封在同一封套内。</w:t>
      </w:r>
      <w:r>
        <w:rPr>
          <w:rFonts w:hint="eastAsia" w:ascii="宋体" w:hAnsi="宋体"/>
          <w:b/>
          <w:bCs/>
          <w:sz w:val="18"/>
          <w:szCs w:val="18"/>
          <w:highlight w:val="yellow"/>
          <w:lang w:val="en-US" w:eastAsia="zh-CN"/>
        </w:rPr>
        <w:t>其中，第一册文件</w:t>
      </w:r>
      <w:r>
        <w:rPr>
          <w:rFonts w:hint="eastAsia" w:ascii="宋体" w:hAnsi="宋体"/>
          <w:b/>
          <w:bCs/>
          <w:sz w:val="18"/>
          <w:szCs w:val="18"/>
          <w:highlight w:val="yellow"/>
        </w:rPr>
        <w:t>一式两份</w:t>
      </w:r>
      <w:r>
        <w:rPr>
          <w:rFonts w:hint="eastAsia" w:ascii="宋体" w:hAnsi="宋体"/>
          <w:b/>
          <w:bCs/>
          <w:sz w:val="18"/>
          <w:szCs w:val="18"/>
          <w:highlight w:val="yellow"/>
          <w:lang w:val="en-US" w:eastAsia="zh-CN"/>
        </w:rPr>
        <w:t>并</w:t>
      </w:r>
      <w:r>
        <w:rPr>
          <w:rFonts w:hint="eastAsia" w:ascii="宋体" w:hAnsi="宋体"/>
          <w:b/>
          <w:bCs/>
          <w:sz w:val="18"/>
          <w:szCs w:val="18"/>
          <w:highlight w:val="yellow"/>
        </w:rPr>
        <w:t>注明“正本”及“副本”</w:t>
      </w:r>
      <w:r>
        <w:rPr>
          <w:rFonts w:hint="eastAsia" w:ascii="宋体" w:hAnsi="宋体"/>
          <w:b/>
          <w:bCs/>
          <w:sz w:val="18"/>
          <w:szCs w:val="18"/>
          <w:highlight w:val="yellow"/>
          <w:lang w:val="en-US" w:eastAsia="zh-CN"/>
        </w:rPr>
        <w:t>并逐页盖公章</w:t>
      </w:r>
      <w:r>
        <w:rPr>
          <w:rFonts w:hint="eastAsia" w:ascii="宋体" w:hAnsi="宋体"/>
          <w:b/>
          <w:bCs/>
          <w:sz w:val="18"/>
          <w:szCs w:val="18"/>
          <w:highlight w:val="yellow"/>
          <w:lang w:eastAsia="zh-CN"/>
        </w:rPr>
        <w:t>，</w:t>
      </w:r>
      <w:r>
        <w:rPr>
          <w:rFonts w:hint="eastAsia" w:ascii="宋体" w:hAnsi="宋体"/>
          <w:b/>
          <w:bCs/>
          <w:sz w:val="18"/>
          <w:szCs w:val="18"/>
          <w:highlight w:val="yellow"/>
          <w:lang w:val="en-US" w:eastAsia="zh-CN"/>
        </w:rPr>
        <w:t>第二册文件一式两份</w:t>
      </w:r>
      <w:r>
        <w:rPr>
          <w:rFonts w:hint="eastAsia" w:ascii="宋体" w:hAnsi="宋体"/>
          <w:b/>
          <w:bCs/>
          <w:sz w:val="18"/>
          <w:szCs w:val="18"/>
          <w:highlight w:val="yellow"/>
        </w:rPr>
        <w:t>，</w:t>
      </w:r>
      <w:r>
        <w:rPr>
          <w:rFonts w:hint="eastAsia" w:ascii="宋体" w:hAnsi="宋体"/>
          <w:b/>
          <w:bCs/>
          <w:sz w:val="18"/>
          <w:szCs w:val="18"/>
          <w:highlight w:val="yellow"/>
          <w:lang w:val="en-US" w:eastAsia="zh-CN"/>
        </w:rPr>
        <w:t>在各封口处加盖公章。</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硫磺回收装置高效脱硫剂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ascii="宋体" w:hAnsi="宋体"/>
          <w:sz w:val="18"/>
          <w:szCs w:val="18"/>
        </w:rPr>
      </w:pPr>
      <w:r>
        <w:rPr>
          <w:rFonts w:hint="eastAsia" w:ascii="宋体" w:hAnsi="宋体"/>
          <w:sz w:val="18"/>
          <w:szCs w:val="18"/>
        </w:rPr>
        <w:t>12.参选文件不退还。</w:t>
      </w:r>
    </w:p>
    <w:p>
      <w:pPr>
        <w:spacing w:line="320" w:lineRule="exact"/>
        <w:rPr>
          <w:rFonts w:hint="eastAsia" w:ascii="宋体" w:hAnsi="宋体"/>
          <w:sz w:val="18"/>
          <w:szCs w:val="18"/>
        </w:rPr>
      </w:pPr>
      <w:r>
        <w:rPr>
          <w:rFonts w:hint="eastAsia" w:ascii="宋体" w:hAnsi="宋体"/>
          <w:sz w:val="18"/>
          <w:szCs w:val="18"/>
          <w:highlight w:val="yellow"/>
        </w:rPr>
        <w:t>13.</w:t>
      </w:r>
      <w:r>
        <w:rPr>
          <w:rFonts w:hint="eastAsia" w:ascii="宋体" w:hAnsi="宋体"/>
          <w:sz w:val="18"/>
          <w:szCs w:val="18"/>
          <w:highlight w:val="yellow"/>
          <w:lang w:val="en-US" w:eastAsia="zh-CN"/>
        </w:rPr>
        <w:t>本次硫磺回收装置高效脱硫剂分为商务标和技术标两部分组成，商务标评分比重为60分，技术标评分为40分，满分为100分，总得分最高的参选人为中选人。</w:t>
      </w:r>
    </w:p>
    <w:p>
      <w:pPr>
        <w:spacing w:line="320" w:lineRule="exact"/>
        <w:rPr>
          <w:rFonts w:hint="eastAsia" w:ascii="宋体" w:hAnsi="宋体"/>
          <w:b/>
          <w:bCs/>
          <w:sz w:val="36"/>
          <w:szCs w:val="36"/>
        </w:rPr>
      </w:pPr>
      <w:r>
        <w:rPr>
          <w:rFonts w:hint="eastAsia" w:ascii="宋体" w:hAnsi="宋体"/>
          <w:sz w:val="18"/>
          <w:szCs w:val="18"/>
          <w:highlight w:val="none"/>
        </w:rPr>
        <w:t>1</w:t>
      </w:r>
      <w:r>
        <w:rPr>
          <w:rFonts w:hint="eastAsia" w:ascii="宋体" w:hAnsi="宋体"/>
          <w:sz w:val="18"/>
          <w:szCs w:val="18"/>
          <w:highlight w:val="none"/>
          <w:lang w:val="en-US" w:eastAsia="zh-CN"/>
        </w:rPr>
        <w:t>4.</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2023-FHC-高效脱硫剂-0419</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硫磺回收装置高效脱硫剂</w:t>
      </w:r>
      <w:r>
        <w:rPr>
          <w:rFonts w:hint="eastAsia" w:ascii="宋体" w:hAnsi="宋体"/>
          <w:sz w:val="24"/>
          <w:szCs w:val="24"/>
        </w:rPr>
        <w:t>，具体要求如下</w:t>
      </w:r>
      <w:r>
        <w:rPr>
          <w:rFonts w:ascii="宋体"/>
          <w:sz w:val="24"/>
          <w:szCs w:val="24"/>
        </w:rPr>
        <w:tab/>
      </w:r>
    </w:p>
    <w:p>
      <w:pPr>
        <w:numPr>
          <w:ilvl w:val="0"/>
          <w:numId w:val="6"/>
        </w:numPr>
        <w:spacing w:line="360" w:lineRule="exact"/>
        <w:jc w:val="left"/>
        <w:rPr>
          <w:rFonts w:hint="eastAsia" w:ascii="宋体" w:hAnsi="宋体" w:cs="宋体"/>
          <w:sz w:val="24"/>
        </w:rPr>
      </w:pPr>
      <w:r>
        <w:rPr>
          <w:rFonts w:hint="eastAsia" w:ascii="宋体" w:cs="宋体"/>
          <w:sz w:val="24"/>
        </w:rPr>
        <w:t>采购数量：</w:t>
      </w:r>
      <w:r>
        <w:rPr>
          <w:rFonts w:hint="eastAsia" w:ascii="宋体" w:cs="宋体"/>
          <w:sz w:val="24"/>
          <w:lang w:val="en-US" w:eastAsia="zh-CN"/>
        </w:rPr>
        <w:t>145吨。</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1.1质量保证：</w:t>
      </w:r>
    </w:p>
    <w:tbl>
      <w:tblPr>
        <w:tblStyle w:val="13"/>
        <w:tblW w:w="7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2767"/>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910" w:type="dxa"/>
            <w:tcBorders>
              <w:bottom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项   目</w:t>
            </w:r>
          </w:p>
        </w:tc>
        <w:tc>
          <w:tcPr>
            <w:tcW w:w="2767" w:type="dxa"/>
            <w:tcBorders>
              <w:bottom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质量指标</w:t>
            </w:r>
          </w:p>
        </w:tc>
        <w:tc>
          <w:tcPr>
            <w:tcW w:w="2143" w:type="dxa"/>
            <w:tcBorders>
              <w:bottom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291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外   观</w:t>
            </w:r>
          </w:p>
        </w:tc>
        <w:tc>
          <w:tcPr>
            <w:tcW w:w="276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无色至浅黄色清澈透明液体</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291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运动粘度（20</w:t>
            </w:r>
            <w:r>
              <w:rPr>
                <w:rFonts w:hint="eastAsia" w:ascii="宋体" w:hAnsi="宋体" w:eastAsia="宋体" w:cs="宋体"/>
                <w:color w:val="000000"/>
                <w:szCs w:val="21"/>
              </w:rPr>
              <w:t>℃</w:t>
            </w:r>
            <w:r>
              <w:rPr>
                <w:rFonts w:ascii="Times New Roman" w:hAnsi="Times New Roman" w:eastAsia="宋体" w:cs="Times New Roman"/>
                <w:color w:val="000000"/>
                <w:szCs w:val="21"/>
              </w:rPr>
              <w:t>），m</w:t>
            </w:r>
            <w:r>
              <w:rPr>
                <w:rFonts w:ascii="Times New Roman" w:hAnsi="Times New Roman" w:eastAsia="宋体" w:cs="Times New Roman"/>
                <w:color w:val="000000"/>
                <w:szCs w:val="21"/>
                <w:vertAlign w:val="superscript"/>
              </w:rPr>
              <w:t>2</w:t>
            </w:r>
            <w:r>
              <w:rPr>
                <w:rFonts w:ascii="Times New Roman" w:hAnsi="Times New Roman" w:eastAsia="宋体" w:cs="Times New Roman"/>
                <w:color w:val="000000"/>
                <w:szCs w:val="21"/>
              </w:rPr>
              <w:t>/s</w:t>
            </w:r>
          </w:p>
        </w:tc>
        <w:tc>
          <w:tcPr>
            <w:tcW w:w="2767"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r>
              <w:rPr>
                <w:rFonts w:ascii="Times New Roman" w:hAnsi="Times New Roman" w:eastAsia="宋体" w:cs="Times New Roman"/>
                <w:color w:val="000000"/>
                <w:szCs w:val="21"/>
              </w:rPr>
              <w:t>0~110</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291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密度（20</w:t>
            </w:r>
            <w:r>
              <w:rPr>
                <w:rFonts w:hint="eastAsia" w:ascii="宋体" w:hAnsi="宋体" w:eastAsia="宋体" w:cs="宋体"/>
                <w:color w:val="000000"/>
                <w:szCs w:val="21"/>
              </w:rPr>
              <w:t>℃</w:t>
            </w:r>
            <w:r>
              <w:rPr>
                <w:rFonts w:ascii="Times New Roman" w:hAnsi="Times New Roman" w:eastAsia="宋体" w:cs="Times New Roman"/>
                <w:color w:val="000000"/>
                <w:szCs w:val="21"/>
              </w:rPr>
              <w:t>），kg/cm</w:t>
            </w:r>
            <w:r>
              <w:rPr>
                <w:rFonts w:ascii="Times New Roman" w:hAnsi="Times New Roman" w:eastAsia="宋体" w:cs="Times New Roman"/>
                <w:color w:val="000000"/>
                <w:szCs w:val="21"/>
                <w:vertAlign w:val="superscript"/>
              </w:rPr>
              <w:t>3</w:t>
            </w:r>
          </w:p>
        </w:tc>
        <w:tc>
          <w:tcPr>
            <w:tcW w:w="276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w:t>
            </w: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0~1.065</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GB/T4472-1984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91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有效组分含量（MDEA）</w:t>
            </w:r>
            <w:r>
              <w:rPr>
                <w:rFonts w:hint="eastAsia" w:ascii="Times New Roman" w:hAnsi="Times New Roman" w:eastAsia="宋体" w:cs="Times New Roman"/>
                <w:color w:val="000000"/>
                <w:szCs w:val="21"/>
              </w:rPr>
              <w:t>，</w:t>
            </w:r>
            <w:r>
              <w:rPr>
                <w:rFonts w:hint="eastAsia" w:ascii="Times New Roman" w:hAnsi="Times New Roman" w:eastAsia="宋体"/>
                <w:bCs/>
                <w:spacing w:val="4"/>
              </w:rPr>
              <w:t>wt%</w:t>
            </w:r>
            <w:r>
              <w:rPr>
                <w:rFonts w:ascii="Times New Roman" w:hAnsi="Times New Roman" w:eastAsia="宋体" w:cs="Times New Roman"/>
                <w:color w:val="000000"/>
                <w:szCs w:val="21"/>
              </w:rPr>
              <w:t xml:space="preserve"> </w:t>
            </w:r>
          </w:p>
        </w:tc>
        <w:tc>
          <w:tcPr>
            <w:tcW w:w="276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≥97</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GH/T 31589-2015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291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凝固点</w:t>
            </w:r>
            <w:r>
              <w:rPr>
                <w:rFonts w:hint="eastAsia" w:ascii="Times New Roman" w:hAnsi="Times New Roman" w:eastAsia="宋体" w:cs="Times New Roman"/>
                <w:color w:val="000000"/>
                <w:szCs w:val="21"/>
              </w:rPr>
              <w:t>，</w:t>
            </w:r>
            <w:r>
              <w:rPr>
                <w:rFonts w:hint="eastAsia" w:ascii="宋体" w:hAnsi="宋体" w:eastAsia="宋体" w:cs="宋体"/>
                <w:color w:val="000000"/>
                <w:szCs w:val="21"/>
              </w:rPr>
              <w:t>℃</w:t>
            </w:r>
          </w:p>
        </w:tc>
        <w:tc>
          <w:tcPr>
            <w:tcW w:w="276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≤-45</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2910"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溶解性</w:t>
            </w:r>
          </w:p>
        </w:tc>
        <w:tc>
          <w:tcPr>
            <w:tcW w:w="2767"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与水互溶</w:t>
            </w:r>
          </w:p>
        </w:tc>
        <w:tc>
          <w:tcPr>
            <w:tcW w:w="2143"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 6324.1</w:t>
            </w:r>
          </w:p>
        </w:tc>
      </w:tr>
    </w:tbl>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1.2性能保证:</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 xml:space="preserve">    在需方装置运行稳定，操作正常，满足技术要求第3.3条款工艺操作条件的情况下，使用供方提供的高效脱硫剂产品，保证：</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a)贫液中的硫化氢≤1g/L。</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b)泡沫高度≯10cm，泡沫消失时间≯10s。</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c)塔底0.45MPa蒸汽消耗≤15wt%富胺液进塔量。</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d)加氢干气脱后硫化氢含量≤20mg/Nm3。</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e)溶剂损耗量≤0.2kg/t原料（液化气或干气）。</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f)有机硫脱除率≥30%，无机硫脱除率≥99.5%。</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g)对设备及管线无不良影响。</w:t>
      </w:r>
    </w:p>
    <w:p>
      <w:pPr>
        <w:numPr>
          <w:ilvl w:val="0"/>
          <w:numId w:val="0"/>
        </w:numPr>
        <w:spacing w:line="360" w:lineRule="exact"/>
        <w:jc w:val="left"/>
        <w:rPr>
          <w:rFonts w:hint="eastAsia" w:ascii="宋体" w:hAnsi="宋体" w:eastAsia="宋体" w:cs="宋体"/>
          <w:sz w:val="24"/>
          <w:lang w:val="en-US" w:eastAsia="zh-CN"/>
        </w:rPr>
      </w:pPr>
      <w:r>
        <w:rPr>
          <w:rFonts w:hint="eastAsia" w:ascii="宋体" w:hAnsi="宋体" w:cs="宋体"/>
          <w:sz w:val="24"/>
          <w:lang w:val="en-US" w:eastAsia="zh-CN"/>
        </w:rPr>
        <w:t>h)不会对上游产品及系统内现有的脱硫剂产生不良影响。</w:t>
      </w:r>
    </w:p>
    <w:p>
      <w:pPr>
        <w:numPr>
          <w:ilvl w:val="0"/>
          <w:numId w:val="6"/>
        </w:numPr>
        <w:spacing w:line="360" w:lineRule="exact"/>
        <w:jc w:val="left"/>
        <w:rPr>
          <w:rFonts w:hint="eastAsia" w:ascii="宋体" w:hAnsi="宋体" w:cs="宋体"/>
          <w:sz w:val="24"/>
        </w:rPr>
      </w:pPr>
      <w:r>
        <w:rPr>
          <w:rFonts w:hint="eastAsia" w:ascii="宋体" w:hAnsi="宋体" w:cs="宋体"/>
          <w:sz w:val="24"/>
          <w:lang w:val="en-US" w:eastAsia="zh-CN"/>
        </w:rPr>
        <w:t>技术要求：</w:t>
      </w:r>
      <w:r>
        <w:rPr>
          <w:rFonts w:hint="eastAsia" w:ascii="宋体" w:hAnsi="宋体" w:cs="宋体"/>
          <w:sz w:val="24"/>
        </w:rPr>
        <w:t>详见附件技术要求。</w:t>
      </w:r>
    </w:p>
    <w:p>
      <w:pPr>
        <w:numPr>
          <w:ilvl w:val="0"/>
          <w:numId w:val="6"/>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吨</w:t>
      </w:r>
      <w:r>
        <w:rPr>
          <w:rFonts w:hint="eastAsia" w:ascii="宋体" w:hAnsi="宋体" w:cs="宋体"/>
          <w:sz w:val="24"/>
        </w:rPr>
        <w:t>桶包装，使用后的空桶由</w:t>
      </w:r>
      <w:r>
        <w:rPr>
          <w:rFonts w:hint="eastAsia" w:ascii="宋体" w:hAnsi="宋体" w:cs="宋体"/>
          <w:sz w:val="24"/>
          <w:lang w:val="en-US" w:eastAsia="zh-CN"/>
        </w:rPr>
        <w:t>供</w:t>
      </w:r>
      <w:r>
        <w:rPr>
          <w:rFonts w:hint="eastAsia" w:ascii="宋体" w:hAnsi="宋体" w:cs="宋体"/>
          <w:sz w:val="24"/>
        </w:rPr>
        <w:t>方进行回收处理。</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color w:val="auto"/>
          <w:sz w:val="24"/>
          <w:lang w:val="en-US" w:eastAsia="zh-CN"/>
        </w:rPr>
        <w:t>分批到货，首批30吨需于</w:t>
      </w:r>
      <w:r>
        <w:rPr>
          <w:rFonts w:hint="eastAsia" w:ascii="宋体" w:hAnsi="宋体"/>
          <w:sz w:val="24"/>
          <w:lang w:val="en-US" w:eastAsia="zh-CN"/>
        </w:rPr>
        <w:t>2023年6月底具备到货条件，具体到货时间以需方通知为准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硫磺回收装置高效脱硫剂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highlight w:val="yellow"/>
        </w:rPr>
      </w:pPr>
      <w:r>
        <w:rPr>
          <w:rFonts w:hint="eastAsia" w:ascii="宋体" w:hAnsi="宋体" w:cs="宋体"/>
          <w:sz w:val="24"/>
        </w:rPr>
        <w:t>6.1付款方式：现汇支付</w:t>
      </w:r>
      <w:r>
        <w:rPr>
          <w:rFonts w:hint="eastAsia" w:ascii="宋体" w:hAnsi="宋体" w:cs="宋体"/>
          <w:sz w:val="24"/>
          <w:lang w:eastAsia="zh-CN"/>
        </w:rPr>
        <w:t>，</w:t>
      </w:r>
      <w:r>
        <w:rPr>
          <w:rFonts w:hint="eastAsia" w:ascii="宋体" w:hAnsi="宋体" w:cs="宋体"/>
          <w:sz w:val="24"/>
          <w:lang w:val="en-US" w:eastAsia="zh-CN"/>
        </w:rPr>
        <w:t>分批到货、分批付款。</w:t>
      </w:r>
      <w:r>
        <w:rPr>
          <w:rFonts w:hint="eastAsia" w:ascii="宋体" w:hAnsi="宋体" w:cs="宋体"/>
          <w:sz w:val="24"/>
        </w:rPr>
        <w:t>每批产品到货</w:t>
      </w:r>
      <w:r>
        <w:rPr>
          <w:rFonts w:hint="eastAsia" w:ascii="宋体" w:hAnsi="宋体" w:cs="宋体"/>
          <w:sz w:val="24"/>
          <w:lang w:val="en-US" w:eastAsia="zh-CN"/>
        </w:rPr>
        <w:t>后</w:t>
      </w:r>
      <w:r>
        <w:rPr>
          <w:rFonts w:hint="eastAsia" w:ascii="宋体" w:hAnsi="宋体" w:cs="宋体"/>
          <w:sz w:val="24"/>
        </w:rPr>
        <w:t>，</w:t>
      </w:r>
      <w:r>
        <w:rPr>
          <w:rFonts w:hint="eastAsia" w:ascii="宋体" w:hAnsi="宋体" w:cs="宋体"/>
          <w:sz w:val="24"/>
          <w:lang w:val="en-US" w:eastAsia="zh-CN"/>
        </w:rPr>
        <w:t>经验收合格后付款</w:t>
      </w:r>
      <w:r>
        <w:rPr>
          <w:rFonts w:hint="eastAsia" w:ascii="宋体" w:hAnsi="宋体" w:cs="宋体"/>
          <w:sz w:val="24"/>
          <w:lang w:eastAsia="zh-CN"/>
        </w:rPr>
        <w:t>。</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8.2参选文件应密封，包含第一册《</w:t>
      </w:r>
      <w:r>
        <w:rPr>
          <w:rFonts w:hint="eastAsia" w:ascii="宋体" w:hAnsi="宋体" w:cs="宋体"/>
          <w:sz w:val="24"/>
          <w:lang w:eastAsia="zh-CN"/>
        </w:rPr>
        <w:t>商务</w:t>
      </w:r>
      <w:r>
        <w:rPr>
          <w:rFonts w:hint="eastAsia" w:ascii="宋体" w:hAnsi="宋体" w:cs="宋体"/>
          <w:sz w:val="24"/>
        </w:rPr>
        <w:t>文件》</w:t>
      </w:r>
      <w:r>
        <w:rPr>
          <w:rFonts w:hint="eastAsia" w:ascii="宋体" w:hAnsi="宋体" w:cs="宋体"/>
          <w:sz w:val="24"/>
          <w:lang w:val="en-US" w:eastAsia="zh-CN"/>
        </w:rPr>
        <w:t>和</w:t>
      </w:r>
      <w:r>
        <w:rPr>
          <w:rFonts w:hint="eastAsia" w:ascii="宋体" w:hAnsi="宋体" w:cs="宋体"/>
          <w:sz w:val="24"/>
        </w:rPr>
        <w:t>第二册《技术文件》</w:t>
      </w:r>
      <w:r>
        <w:rPr>
          <w:rFonts w:hint="eastAsia" w:ascii="宋体" w:hAnsi="宋体" w:cs="宋体"/>
          <w:sz w:val="24"/>
          <w:lang w:val="en-US" w:eastAsia="zh-CN"/>
        </w:rPr>
        <w:t>各一式两份</w:t>
      </w:r>
      <w:r>
        <w:rPr>
          <w:rFonts w:hint="eastAsia" w:ascii="宋体" w:hAnsi="宋体" w:cs="宋体"/>
          <w:sz w:val="24"/>
          <w:lang w:eastAsia="zh-CN"/>
        </w:rPr>
        <w:t>，</w:t>
      </w:r>
      <w:r>
        <w:rPr>
          <w:rFonts w:hint="eastAsia" w:ascii="宋体" w:hAnsi="宋体" w:cs="宋体"/>
          <w:sz w:val="24"/>
          <w:lang w:val="en-US" w:eastAsia="zh-CN"/>
        </w:rPr>
        <w:t>详见参选规定及说明，两册文件</w:t>
      </w:r>
      <w:r>
        <w:rPr>
          <w:rFonts w:hint="eastAsia" w:ascii="宋体" w:hAnsi="宋体"/>
          <w:sz w:val="24"/>
          <w:szCs w:val="24"/>
        </w:rPr>
        <w:t>封套的封口处均</w:t>
      </w:r>
      <w:r>
        <w:rPr>
          <w:rFonts w:hint="eastAsia" w:ascii="宋体" w:hAnsi="宋体"/>
          <w:sz w:val="24"/>
          <w:szCs w:val="24"/>
          <w:lang w:val="en-US" w:eastAsia="zh-CN"/>
        </w:rPr>
        <w:t>需</w:t>
      </w:r>
      <w:r>
        <w:rPr>
          <w:rFonts w:hint="eastAsia" w:ascii="宋体" w:hAnsi="宋体"/>
          <w:sz w:val="24"/>
          <w:szCs w:val="24"/>
        </w:rPr>
        <w:t>密封</w:t>
      </w:r>
      <w:r>
        <w:rPr>
          <w:rFonts w:hint="eastAsia" w:ascii="宋体" w:hAnsi="宋体"/>
          <w:sz w:val="24"/>
          <w:szCs w:val="24"/>
          <w:lang w:val="en-US" w:eastAsia="zh-CN"/>
        </w:rPr>
        <w:t>并加盖公章</w:t>
      </w:r>
      <w:r>
        <w:rPr>
          <w:rFonts w:hint="eastAsia" w:ascii="宋体" w:hAnsi="宋体" w:cs="宋体"/>
          <w:sz w:val="24"/>
        </w:rPr>
        <w:t>。</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2023-FHC-高效脱硫剂-0419</w:t>
      </w:r>
      <w:r>
        <w:rPr>
          <w:rFonts w:hint="eastAsia" w:ascii="宋体" w:hAnsi="宋体"/>
          <w:sz w:val="24"/>
        </w:rPr>
        <w:t>），被我方正式授权并代表我公司递交下述文件，并对此负责。</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1、</w:t>
      </w:r>
      <w:r>
        <w:rPr>
          <w:rFonts w:hint="eastAsia" w:ascii="宋体" w:hAnsi="宋体"/>
          <w:sz w:val="24"/>
          <w:highlight w:val="yellow"/>
        </w:rPr>
        <w:t>第一册</w:t>
      </w:r>
      <w:r>
        <w:rPr>
          <w:rFonts w:hint="eastAsia" w:ascii="宋体" w:hAnsi="宋体"/>
          <w:sz w:val="24"/>
          <w:highlight w:val="yellow"/>
          <w:lang w:eastAsia="zh-CN"/>
        </w:rPr>
        <w:t>商务</w:t>
      </w:r>
      <w:r>
        <w:rPr>
          <w:rFonts w:hint="eastAsia" w:ascii="宋体" w:hAnsi="宋体"/>
          <w:sz w:val="24"/>
          <w:highlight w:val="yellow"/>
        </w:rPr>
        <w:t>文件包含以下内容：</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（1）比选公告</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（2）参选规定及说明</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（3）公开比选文件</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（4）参选书</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（5）法定代表人授权书</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（6）报价单</w:t>
      </w:r>
    </w:p>
    <w:p>
      <w:pPr>
        <w:spacing w:line="500" w:lineRule="exact"/>
        <w:ind w:firstLine="480" w:firstLineChars="200"/>
        <w:rPr>
          <w:rFonts w:hint="eastAsia" w:ascii="宋体" w:hAnsi="宋体"/>
          <w:sz w:val="24"/>
          <w:highlight w:val="yellow"/>
          <w:lang w:eastAsia="zh-CN"/>
        </w:rPr>
      </w:pPr>
      <w:r>
        <w:rPr>
          <w:rFonts w:hint="eastAsia" w:ascii="宋体" w:hAnsi="宋体"/>
          <w:sz w:val="24"/>
          <w:highlight w:val="yellow"/>
          <w:lang w:eastAsia="zh-CN"/>
        </w:rPr>
        <w:t>（</w:t>
      </w:r>
      <w:r>
        <w:rPr>
          <w:rFonts w:hint="eastAsia" w:ascii="宋体" w:hAnsi="宋体"/>
          <w:sz w:val="24"/>
          <w:highlight w:val="yellow"/>
          <w:lang w:val="en-US" w:eastAsia="zh-CN"/>
        </w:rPr>
        <w:t>7</w:t>
      </w:r>
      <w:r>
        <w:rPr>
          <w:rFonts w:hint="eastAsia" w:ascii="宋体" w:hAnsi="宋体"/>
          <w:sz w:val="24"/>
          <w:highlight w:val="yellow"/>
          <w:lang w:eastAsia="zh-CN"/>
        </w:rPr>
        <w:t>）</w:t>
      </w:r>
      <w:r>
        <w:rPr>
          <w:rFonts w:hint="eastAsia" w:ascii="宋体" w:hAnsi="宋体"/>
          <w:sz w:val="24"/>
          <w:highlight w:val="yellow"/>
          <w:lang w:val="en-US" w:eastAsia="zh-CN"/>
        </w:rPr>
        <w:t>技术要求</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2、</w:t>
      </w:r>
      <w:r>
        <w:rPr>
          <w:rFonts w:hint="eastAsia" w:ascii="宋体" w:hAnsi="宋体"/>
          <w:sz w:val="24"/>
          <w:highlight w:val="yellow"/>
        </w:rPr>
        <w:t>第二册技术文件包含以下内容：</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公司资质、同类业绩资料、产品物化性质、产品性能保证、供货周期、技术服务、包装运输等内容</w:t>
      </w:r>
      <w:r>
        <w:rPr>
          <w:rFonts w:hint="eastAsia" w:ascii="宋体" w:hAnsi="宋体"/>
          <w:sz w:val="24"/>
          <w:highlight w:val="yellow"/>
        </w:rPr>
        <w:t>。</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2023-FHC-高效脱硫剂-0419</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2023-FHC-高效脱硫剂-0419</w:t>
      </w:r>
      <w:r>
        <w:rPr>
          <w:rFonts w:hint="eastAsia" w:ascii="宋体" w:hAnsi="宋体"/>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硫磺回收装置高效脱硫剂</w:t>
      </w:r>
      <w:r>
        <w:rPr>
          <w:rFonts w:hint="eastAsia" w:ascii="宋体" w:hAnsi="宋体"/>
          <w:color w:val="auto"/>
          <w:sz w:val="24"/>
        </w:rPr>
        <w:t>：</w:t>
      </w:r>
    </w:p>
    <w:p>
      <w:pPr>
        <w:numPr>
          <w:ilvl w:val="0"/>
          <w:numId w:val="0"/>
        </w:numPr>
        <w:spacing w:line="312" w:lineRule="auto"/>
        <w:rPr>
          <w:rFonts w:hint="eastAsia" w:ascii="宋体" w:hAnsi="宋体"/>
          <w:color w:val="auto"/>
          <w:sz w:val="24"/>
          <w:u w:val="none"/>
          <w:lang w:val="en-US" w:eastAsia="zh-CN"/>
        </w:rPr>
      </w:pPr>
      <w:r>
        <w:rPr>
          <w:rFonts w:hint="eastAsia" w:ascii="宋体" w:hAnsi="宋体"/>
          <w:color w:val="auto"/>
          <w:sz w:val="24"/>
          <w:lang w:val="en-US" w:eastAsia="zh-CN"/>
        </w:rPr>
        <w:t>2、</w:t>
      </w:r>
      <w:r>
        <w:rPr>
          <w:rFonts w:hint="eastAsia" w:ascii="宋体" w:hAnsi="宋体"/>
          <w:color w:val="auto"/>
          <w:sz w:val="24"/>
        </w:rPr>
        <w:t>数量</w:t>
      </w:r>
      <w:r>
        <w:rPr>
          <w:rFonts w:hint="eastAsia" w:ascii="宋体" w:hAnsi="宋体"/>
          <w:sz w:val="24"/>
          <w:lang w:eastAsia="zh-CN"/>
        </w:rPr>
        <w:t>：</w:t>
      </w:r>
      <w:r>
        <w:rPr>
          <w:rFonts w:hint="eastAsia" w:ascii="宋体" w:hAnsi="宋体"/>
          <w:sz w:val="24"/>
          <w:lang w:val="en-US" w:eastAsia="zh-CN"/>
        </w:rPr>
        <w:t>145吨，规格型号：____________。</w:t>
      </w:r>
    </w:p>
    <w:p>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pStyle w:val="23"/>
        <w:numPr>
          <w:ilvl w:val="0"/>
          <w:numId w:val="0"/>
        </w:numPr>
        <w:spacing w:line="360" w:lineRule="auto"/>
        <w:jc w:val="left"/>
        <w:rPr>
          <w:rFonts w:hint="eastAsia" w:ascii="宋体" w:hAnsi="宋体"/>
          <w:color w:val="auto"/>
          <w:sz w:val="24"/>
          <w:lang w:val="en-US" w:eastAsia="zh-CN"/>
        </w:rPr>
      </w:pPr>
      <w:r>
        <w:rPr>
          <w:rFonts w:hint="eastAsia" w:ascii="宋体" w:hAnsi="宋体"/>
          <w:color w:val="auto"/>
          <w:sz w:val="24"/>
          <w:lang w:val="en-US" w:eastAsia="zh-CN"/>
        </w:rPr>
        <w:t>4、质量保证：</w:t>
      </w:r>
    </w:p>
    <w:tbl>
      <w:tblPr>
        <w:tblStyle w:val="13"/>
        <w:tblW w:w="7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797"/>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880" w:type="dxa"/>
            <w:tcBorders>
              <w:bottom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项   目</w:t>
            </w:r>
          </w:p>
        </w:tc>
        <w:tc>
          <w:tcPr>
            <w:tcW w:w="2797" w:type="dxa"/>
            <w:tcBorders>
              <w:bottom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质量指标</w:t>
            </w:r>
          </w:p>
        </w:tc>
        <w:tc>
          <w:tcPr>
            <w:tcW w:w="2143" w:type="dxa"/>
            <w:tcBorders>
              <w:bottom w:val="single" w:color="auto" w:sz="4" w:space="0"/>
            </w:tcBorders>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88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外   观</w:t>
            </w:r>
          </w:p>
        </w:tc>
        <w:tc>
          <w:tcPr>
            <w:tcW w:w="27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无色至浅黄色清澈透明液体</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88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运动粘度（20</w:t>
            </w:r>
            <w:r>
              <w:rPr>
                <w:rFonts w:hint="eastAsia" w:ascii="宋体" w:hAnsi="宋体" w:eastAsia="宋体" w:cs="宋体"/>
                <w:color w:val="000000"/>
                <w:szCs w:val="21"/>
              </w:rPr>
              <w:t>℃</w:t>
            </w:r>
            <w:r>
              <w:rPr>
                <w:rFonts w:ascii="Times New Roman" w:hAnsi="Times New Roman" w:eastAsia="宋体" w:cs="Times New Roman"/>
                <w:color w:val="000000"/>
                <w:szCs w:val="21"/>
              </w:rPr>
              <w:t>），m</w:t>
            </w:r>
            <w:r>
              <w:rPr>
                <w:rFonts w:ascii="Times New Roman" w:hAnsi="Times New Roman" w:eastAsia="宋体" w:cs="Times New Roman"/>
                <w:color w:val="000000"/>
                <w:szCs w:val="21"/>
                <w:vertAlign w:val="superscript"/>
              </w:rPr>
              <w:t>2</w:t>
            </w:r>
            <w:r>
              <w:rPr>
                <w:rFonts w:ascii="Times New Roman" w:hAnsi="Times New Roman" w:eastAsia="宋体" w:cs="Times New Roman"/>
                <w:color w:val="000000"/>
                <w:szCs w:val="21"/>
              </w:rPr>
              <w:t>/s</w:t>
            </w:r>
          </w:p>
        </w:tc>
        <w:tc>
          <w:tcPr>
            <w:tcW w:w="2797"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r>
              <w:rPr>
                <w:rFonts w:ascii="Times New Roman" w:hAnsi="Times New Roman" w:eastAsia="宋体" w:cs="Times New Roman"/>
                <w:color w:val="000000"/>
                <w:szCs w:val="21"/>
              </w:rPr>
              <w:t>0~110</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88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密度（20</w:t>
            </w:r>
            <w:r>
              <w:rPr>
                <w:rFonts w:hint="eastAsia" w:ascii="宋体" w:hAnsi="宋体" w:eastAsia="宋体" w:cs="宋体"/>
                <w:color w:val="000000"/>
                <w:szCs w:val="21"/>
              </w:rPr>
              <w:t>℃</w:t>
            </w:r>
            <w:r>
              <w:rPr>
                <w:rFonts w:ascii="Times New Roman" w:hAnsi="Times New Roman" w:eastAsia="宋体" w:cs="Times New Roman"/>
                <w:color w:val="000000"/>
                <w:szCs w:val="21"/>
              </w:rPr>
              <w:t>），kg/cm</w:t>
            </w:r>
            <w:r>
              <w:rPr>
                <w:rFonts w:ascii="Times New Roman" w:hAnsi="Times New Roman" w:eastAsia="宋体" w:cs="Times New Roman"/>
                <w:color w:val="000000"/>
                <w:szCs w:val="21"/>
                <w:vertAlign w:val="superscript"/>
              </w:rPr>
              <w:t>3</w:t>
            </w:r>
          </w:p>
        </w:tc>
        <w:tc>
          <w:tcPr>
            <w:tcW w:w="27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w:t>
            </w: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0~1.065</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GB/T4472-1984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88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有效组分含量（MDEA）</w:t>
            </w:r>
            <w:r>
              <w:rPr>
                <w:rFonts w:hint="eastAsia" w:ascii="Times New Roman" w:hAnsi="Times New Roman" w:eastAsia="宋体" w:cs="Times New Roman"/>
                <w:color w:val="000000"/>
                <w:szCs w:val="21"/>
              </w:rPr>
              <w:t>，</w:t>
            </w:r>
            <w:r>
              <w:rPr>
                <w:rFonts w:hint="eastAsia" w:ascii="Times New Roman" w:hAnsi="Times New Roman" w:eastAsia="宋体"/>
                <w:bCs/>
                <w:spacing w:val="4"/>
              </w:rPr>
              <w:t>wt%</w:t>
            </w:r>
            <w:r>
              <w:rPr>
                <w:rFonts w:ascii="Times New Roman" w:hAnsi="Times New Roman" w:eastAsia="宋体" w:cs="Times New Roman"/>
                <w:color w:val="000000"/>
                <w:szCs w:val="21"/>
              </w:rPr>
              <w:t xml:space="preserve"> </w:t>
            </w:r>
          </w:p>
        </w:tc>
        <w:tc>
          <w:tcPr>
            <w:tcW w:w="27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≥97</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GH/T 31589-2015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88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凝固点</w:t>
            </w:r>
            <w:r>
              <w:rPr>
                <w:rFonts w:hint="eastAsia" w:ascii="Times New Roman" w:hAnsi="Times New Roman" w:eastAsia="宋体" w:cs="Times New Roman"/>
                <w:color w:val="000000"/>
                <w:szCs w:val="21"/>
              </w:rPr>
              <w:t>，</w:t>
            </w:r>
            <w:r>
              <w:rPr>
                <w:rFonts w:hint="eastAsia" w:ascii="宋体" w:hAnsi="宋体" w:eastAsia="宋体" w:cs="宋体"/>
                <w:color w:val="000000"/>
                <w:szCs w:val="21"/>
              </w:rPr>
              <w:t>℃</w:t>
            </w:r>
          </w:p>
        </w:tc>
        <w:tc>
          <w:tcPr>
            <w:tcW w:w="2797"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≤-45</w:t>
            </w:r>
          </w:p>
        </w:tc>
        <w:tc>
          <w:tcPr>
            <w:tcW w:w="214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880"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溶解性</w:t>
            </w:r>
          </w:p>
        </w:tc>
        <w:tc>
          <w:tcPr>
            <w:tcW w:w="2797"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与水互溶</w:t>
            </w:r>
          </w:p>
        </w:tc>
        <w:tc>
          <w:tcPr>
            <w:tcW w:w="2143"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GB/T 6324.1</w:t>
            </w:r>
          </w:p>
        </w:tc>
      </w:tr>
    </w:tbl>
    <w:p>
      <w:pPr>
        <w:numPr>
          <w:ilvl w:val="0"/>
          <w:numId w:val="0"/>
        </w:numPr>
        <w:spacing w:line="360" w:lineRule="exact"/>
        <w:jc w:val="left"/>
        <w:rPr>
          <w:rFonts w:hint="eastAsia" w:ascii="宋体" w:hAnsi="宋体" w:cs="宋体"/>
          <w:sz w:val="24"/>
          <w:lang w:val="en-US" w:eastAsia="zh-CN"/>
        </w:rPr>
      </w:pPr>
      <w:r>
        <w:rPr>
          <w:rFonts w:hint="eastAsia" w:ascii="宋体" w:hAnsi="宋体"/>
          <w:color w:val="auto"/>
          <w:sz w:val="24"/>
          <w:lang w:val="en-US" w:eastAsia="zh-CN"/>
        </w:rPr>
        <w:t>5、</w:t>
      </w:r>
      <w:r>
        <w:rPr>
          <w:rFonts w:hint="eastAsia" w:ascii="宋体" w:hAnsi="宋体" w:cs="宋体"/>
          <w:sz w:val="24"/>
          <w:lang w:val="en-US" w:eastAsia="zh-CN"/>
        </w:rPr>
        <w:t>性能保证:</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 xml:space="preserve">    在需方装置运行稳定，操作正常，满足技术要求第3.3条款工艺操作条件的情况下，使用供方提供的高效脱硫剂产品，保证：</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a)贫液中的硫化氢≤1g/L。</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b)泡沫高度≯10cm，泡沫消失时间≯10s。</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c)塔底0.45MPa蒸汽消耗≤15wt%富胺液进塔量。</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d)加氢干气脱后硫化氢含量≤20mg/Nm3。</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e)溶剂损耗量≤0.2kg/t原料（液化气或干气）。</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f)有机硫脱除率≥30%，无机硫脱除率≥99.5%。</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g)对设备及管线无不良影响。</w:t>
      </w:r>
    </w:p>
    <w:p>
      <w:pPr>
        <w:numPr>
          <w:ilvl w:val="0"/>
          <w:numId w:val="0"/>
        </w:numPr>
        <w:spacing w:line="360" w:lineRule="exact"/>
        <w:jc w:val="left"/>
        <w:rPr>
          <w:rFonts w:hint="eastAsia" w:ascii="宋体" w:hAnsi="宋体"/>
          <w:color w:val="auto"/>
          <w:sz w:val="24"/>
          <w:lang w:val="en-US" w:eastAsia="zh-CN"/>
        </w:rPr>
      </w:pPr>
      <w:r>
        <w:rPr>
          <w:rFonts w:hint="eastAsia" w:ascii="宋体" w:hAnsi="宋体" w:cs="宋体"/>
          <w:sz w:val="24"/>
          <w:lang w:val="en-US" w:eastAsia="zh-CN"/>
        </w:rPr>
        <w:t>h)不会对上游产品及系统内现有的脱硫剂产生不良影响。</w:t>
      </w:r>
    </w:p>
    <w:p>
      <w:pPr>
        <w:numPr>
          <w:ilvl w:val="0"/>
          <w:numId w:val="0"/>
        </w:numPr>
        <w:spacing w:line="312" w:lineRule="auto"/>
        <w:rPr>
          <w:rFonts w:ascii="宋体" w:hAnsi="宋体"/>
          <w:color w:val="auto"/>
          <w:sz w:val="24"/>
        </w:rPr>
      </w:pPr>
      <w:r>
        <w:rPr>
          <w:rFonts w:hint="eastAsia" w:ascii="宋体" w:hAnsi="宋体"/>
          <w:color w:val="auto"/>
          <w:sz w:val="24"/>
          <w:lang w:val="en-US" w:eastAsia="zh-CN"/>
        </w:rPr>
        <w:t>6、质量验收标准：详见附件技术要求。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壹拾万元</w:t>
      </w:r>
      <w:r>
        <w:rPr>
          <w:rFonts w:hint="eastAsia" w:ascii="宋体" w:hAnsi="宋体"/>
          <w:sz w:val="24"/>
        </w:rPr>
        <w:t>整，若我司中选，我司同意按照要求</w:t>
      </w:r>
      <w:r>
        <w:rPr>
          <w:rFonts w:hint="eastAsia" w:ascii="宋体" w:hAnsi="宋体"/>
          <w:sz w:val="24"/>
          <w:lang w:val="en-US" w:eastAsia="zh-CN"/>
        </w:rPr>
        <w:t>转为履约保证金并作为合同质保金</w:t>
      </w:r>
      <w:r>
        <w:rPr>
          <w:rFonts w:hint="eastAsia" w:ascii="宋体" w:hAnsi="宋体"/>
          <w:color w:val="auto"/>
          <w:sz w:val="24"/>
          <w:highlight w:val="none"/>
          <w:lang w:val="en-US" w:eastAsia="zh-CN"/>
        </w:rPr>
        <w:t>待履约届满后且无质量问题一年后申请无息返还</w:t>
      </w:r>
      <w:r>
        <w:rPr>
          <w:rFonts w:hint="eastAsia" w:ascii="宋体" w:hAnsi="宋体"/>
          <w:color w:val="auto"/>
          <w:sz w:val="24"/>
          <w:highlight w:val="none"/>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首批30吨于2023年6月底具备到货条件，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60" w:lineRule="auto"/>
        <w:jc w:val="left"/>
        <w:rPr>
          <w:rFonts w:hint="eastAsia" w:ascii="宋体" w:hAnsi="宋体"/>
          <w:sz w:val="24"/>
          <w:lang w:val="en-US" w:eastAsia="zh-CN"/>
        </w:rPr>
      </w:pPr>
      <w:r>
        <w:rPr>
          <w:rFonts w:hint="eastAsia" w:ascii="宋体" w:hAnsi="宋体"/>
          <w:sz w:val="24"/>
        </w:rPr>
        <w:t>1、</w:t>
      </w:r>
      <w:r>
        <w:rPr>
          <w:rFonts w:hint="eastAsia" w:ascii="宋体" w:hAnsi="宋体"/>
          <w:sz w:val="24"/>
          <w:lang w:val="en-US" w:eastAsia="zh-CN"/>
        </w:rPr>
        <w:t>付款方式：现汇支付，分批到货、分批付款。每批产品到货后经验收合格后付款。</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五、执行时间：产品供货期为2023年6月底~2024年12月31日。</w:t>
      </w:r>
    </w:p>
    <w:p>
      <w:pPr>
        <w:pStyle w:val="2"/>
        <w:rPr>
          <w:rFonts w:hint="eastAsia"/>
        </w:rPr>
      </w:pPr>
    </w:p>
    <w:p>
      <w:pPr>
        <w:pStyle w:val="2"/>
        <w:rPr>
          <w:rFonts w:hint="eastAsia"/>
        </w:rPr>
      </w:pPr>
    </w:p>
    <w:p>
      <w:pPr>
        <w:numPr>
          <w:ilvl w:val="0"/>
          <w:numId w:val="0"/>
        </w:numPr>
        <w:spacing w:line="312" w:lineRule="auto"/>
        <w:rPr>
          <w:rFonts w:hint="eastAsia" w:ascii="宋体" w:hAnsi="宋体"/>
          <w:sz w:val="24"/>
          <w:lang w:val="en-US" w:eastAsia="zh-CN"/>
        </w:rPr>
      </w:pPr>
    </w:p>
    <w:p>
      <w:pPr>
        <w:numPr>
          <w:ilvl w:val="0"/>
          <w:numId w:val="0"/>
        </w:numPr>
        <w:spacing w:line="312" w:lineRule="auto"/>
        <w:rPr>
          <w:rFonts w:hint="eastAsia" w:ascii="宋体" w:hAnsi="宋体" w:eastAsia="宋体"/>
          <w:sz w:val="24"/>
          <w:lang w:val="en-US" w:eastAsia="zh-CN"/>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2023-FHC-高效脱硫剂-0419</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附件技术要求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b/>
          <w:szCs w:val="21"/>
          <w:lang w:val="en-US" w:eastAsia="zh-CN"/>
        </w:rPr>
      </w:pPr>
      <w:r>
        <w:rPr>
          <w:rFonts w:hint="eastAsia" w:ascii="宋体" w:hAnsi="宋体"/>
          <w:b/>
          <w:szCs w:val="21"/>
          <w:lang w:val="en-US" w:eastAsia="zh-CN"/>
        </w:rPr>
        <w:t xml:space="preserve">                                </w:t>
      </w:r>
    </w:p>
    <w:p>
      <w:pPr>
        <w:spacing w:line="280" w:lineRule="exact"/>
        <w:ind w:firstLine="3373" w:firstLineChars="1600"/>
        <w:rPr>
          <w:rFonts w:hint="eastAsia" w:ascii="宋体" w:hAnsi="宋体" w:eastAsia="宋体"/>
          <w:b/>
          <w:szCs w:val="21"/>
          <w:lang w:val="en-US" w:eastAsia="zh-CN"/>
        </w:rPr>
      </w:pPr>
      <w:r>
        <w:rPr>
          <w:rFonts w:hint="eastAsia" w:ascii="宋体" w:hAnsi="宋体"/>
          <w:b/>
          <w:szCs w:val="21"/>
          <w:lang w:val="en-US" w:eastAsia="zh-CN"/>
        </w:rPr>
        <w:t>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3"/>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ascii="宋体" w:hAnsi="宋体"/>
          <w:b/>
          <w:color w:val="000000"/>
          <w:szCs w:val="21"/>
        </w:rPr>
      </w:pPr>
      <w:r>
        <w:rPr>
          <w:rFonts w:hint="eastAsia" w:ascii="宋体" w:hAnsi="宋体"/>
          <w:b/>
          <w:szCs w:val="21"/>
          <w:lang w:val="en-US" w:eastAsia="zh-CN"/>
        </w:rPr>
        <w:t>二</w:t>
      </w:r>
      <w:r>
        <w:rPr>
          <w:rFonts w:hint="eastAsia" w:ascii="宋体" w:hAnsi="宋体"/>
          <w:b/>
          <w:szCs w:val="21"/>
        </w:rPr>
        <w:t>、</w:t>
      </w:r>
      <w:r>
        <w:rPr>
          <w:rFonts w:hint="eastAsia" w:ascii="宋体" w:hAnsi="宋体"/>
          <w:b/>
          <w:color w:val="000000"/>
          <w:szCs w:val="21"/>
        </w:rPr>
        <w:t>供货有效期：</w:t>
      </w:r>
    </w:p>
    <w:p>
      <w:pPr>
        <w:spacing w:line="280" w:lineRule="exact"/>
        <w:ind w:firstLine="420" w:firstLineChars="200"/>
        <w:rPr>
          <w:rFonts w:hint="eastAsia" w:ascii="宋体" w:hAnsi="宋体"/>
          <w:b/>
          <w:szCs w:val="21"/>
        </w:rPr>
      </w:pPr>
      <w:r>
        <w:rPr>
          <w:rFonts w:hint="eastAsia" w:ascii="宋体" w:hAnsi="宋体"/>
          <w:color w:val="000000"/>
          <w:szCs w:val="21"/>
        </w:rPr>
        <w:t>本合同供货有效期</w:t>
      </w:r>
      <w:r>
        <w:rPr>
          <w:rFonts w:hint="eastAsia" w:ascii="宋体" w:hAnsi="宋体"/>
          <w:color w:val="000000"/>
          <w:szCs w:val="21"/>
          <w:lang w:val="en-US" w:eastAsia="zh-CN"/>
        </w:rPr>
        <w:t>约两年，</w:t>
      </w:r>
      <w:r>
        <w:rPr>
          <w:rFonts w:hint="eastAsia" w:ascii="宋体" w:hAnsi="宋体"/>
          <w:color w:val="000000"/>
          <w:szCs w:val="21"/>
        </w:rPr>
        <w:t>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6</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30</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12</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见附件技术要求，</w:t>
      </w:r>
      <w:r>
        <w:rPr>
          <w:rFonts w:hint="eastAsia" w:ascii="宋体" w:hAnsi="宋体" w:cs="宋体"/>
          <w:color w:val="000000"/>
          <w:u w:val="single" w:color="000000"/>
        </w:rPr>
        <w:t>供方需提供所供产品质量检验证明，以需方指定单位验收为准</w:t>
      </w:r>
      <w:r>
        <w:rPr>
          <w:rFonts w:hint="eastAsia" w:ascii="宋体" w:hAnsi="宋体" w:cs="宋体"/>
          <w:color w:val="000000"/>
          <w:u w:val="single" w:color="000000"/>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2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吨桶包装，使用后的空桶由供方进行回收处理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lang w:eastAsia="zh-CN"/>
        </w:rPr>
        <w:t>：</w:t>
      </w:r>
      <w:r>
        <w:rPr>
          <w:rFonts w:hint="eastAsia" w:ascii="宋体" w:hAnsi="宋体"/>
          <w:szCs w:val="21"/>
          <w:lang w:val="en-US" w:eastAsia="zh-CN"/>
        </w:rPr>
        <w:t>____</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现汇支付，分批到货、分批付款。每批产品到货后，经需方或需方指定单位</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腾龙芳烃（漳州）有限公司</w:t>
      </w:r>
      <w:r>
        <w:rPr>
          <w:rFonts w:hint="eastAsia" w:ascii="宋体" w:hAnsi="宋体"/>
          <w:szCs w:val="21"/>
        </w:rPr>
        <w:t>（本合同中统称“需方”）</w:t>
      </w:r>
      <w:r>
        <w:rPr>
          <w:rFonts w:hint="eastAsia" w:ascii="宋体" w:hAnsi="宋体"/>
          <w:b w:val="0"/>
          <w:bCs/>
          <w:szCs w:val="21"/>
        </w:rPr>
        <w:t>根据</w:t>
      </w:r>
      <w:r>
        <w:rPr>
          <w:rFonts w:hint="eastAsia" w:ascii="宋体" w:hAnsi="宋体"/>
          <w:b w:val="0"/>
          <w:bCs/>
          <w:szCs w:val="21"/>
          <w:lang w:val="en-US" w:eastAsia="zh-CN"/>
        </w:rPr>
        <w:t>本</w:t>
      </w:r>
      <w:r>
        <w:rPr>
          <w:rFonts w:hint="eastAsia" w:ascii="宋体" w:hAnsi="宋体"/>
          <w:b w:val="0"/>
          <w:bCs/>
          <w:szCs w:val="21"/>
        </w:rPr>
        <w:t>签订的合同及技术要求约定的</w:t>
      </w:r>
      <w:r>
        <w:rPr>
          <w:rFonts w:hint="eastAsia" w:ascii="宋体" w:hAnsi="宋体"/>
          <w:b w:val="0"/>
          <w:bCs/>
          <w:szCs w:val="21"/>
          <w:lang w:val="en-US" w:eastAsia="zh-CN"/>
        </w:rPr>
        <w:t>验收合格后</w:t>
      </w:r>
      <w:r>
        <w:rPr>
          <w:rFonts w:hint="eastAsia" w:ascii="宋体" w:hAnsi="宋体"/>
          <w:b w:val="0"/>
          <w:bCs/>
          <w:szCs w:val="21"/>
        </w:rPr>
        <w:t>供方提供相应金额的13%增值税专用发票以及结算所需的各类清单，需方收到并确认无误后支付货款。</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分批到货，首批30吨需于2023年6月底具备到货条件，具体到货时间以需方通知为准。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3"/>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lang w:val="en-US" w:eastAsia="zh-CN"/>
        </w:rPr>
      </w:pPr>
      <w:r>
        <w:rPr>
          <w:rFonts w:hint="eastAsia"/>
          <w:szCs w:val="21"/>
          <w:lang w:val="en-US" w:eastAsia="zh-CN"/>
        </w:rPr>
        <w:t>5.1供方根据需方要求缴纳履约保证金并作为合同质保金，金额为人民币壹拾万元整。合同履约期届满且无质量问题一年后，供方提交返还履约保证金申请后30天内无息返还。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性能保证、验收结算及赔偿和技术服务范围详见附件技术要求。</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font-weight : 400">
    <w:altName w:val="Segoe Print"/>
    <w:panose1 w:val="00000000000000000000"/>
    <w:charset w:val="00"/>
    <w:family w:val="auto"/>
    <w:pitch w:val="default"/>
    <w:sig w:usb0="00000000" w:usb1="00000000" w:usb2="00000000" w:usb3="00000000" w:csb0="00040001" w:csb1="00000000"/>
  </w:font>
  <w:font w:name="ArialMT">
    <w:altName w:val="新宋体"/>
    <w:panose1 w:val="00000000000000000000"/>
    <w:charset w:val="00"/>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370500D3"/>
    <w:multiLevelType w:val="multilevel"/>
    <w:tmpl w:val="370500D3"/>
    <w:lvl w:ilvl="0" w:tentative="0">
      <w:start w:val="1"/>
      <w:numFmt w:val="decimal"/>
      <w:pStyle w:val="3"/>
      <w:suff w:val="space"/>
      <w:lvlText w:val="8.1.%1 "/>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85493"/>
    <w:rsid w:val="021D391B"/>
    <w:rsid w:val="022C6513"/>
    <w:rsid w:val="023F054C"/>
    <w:rsid w:val="024C0384"/>
    <w:rsid w:val="02773EF6"/>
    <w:rsid w:val="02CC4E1D"/>
    <w:rsid w:val="02D53A40"/>
    <w:rsid w:val="03033536"/>
    <w:rsid w:val="03182CF8"/>
    <w:rsid w:val="03261A08"/>
    <w:rsid w:val="032857C7"/>
    <w:rsid w:val="032D15FD"/>
    <w:rsid w:val="032F04D8"/>
    <w:rsid w:val="03A9303F"/>
    <w:rsid w:val="03DC17EA"/>
    <w:rsid w:val="03E270E3"/>
    <w:rsid w:val="03E5328D"/>
    <w:rsid w:val="041A4C52"/>
    <w:rsid w:val="042207A6"/>
    <w:rsid w:val="042D4439"/>
    <w:rsid w:val="04444FBA"/>
    <w:rsid w:val="04675C1C"/>
    <w:rsid w:val="046B7835"/>
    <w:rsid w:val="046E24C0"/>
    <w:rsid w:val="046F7ACF"/>
    <w:rsid w:val="04785792"/>
    <w:rsid w:val="049270F9"/>
    <w:rsid w:val="05264C66"/>
    <w:rsid w:val="053A64CB"/>
    <w:rsid w:val="0546217C"/>
    <w:rsid w:val="055746BC"/>
    <w:rsid w:val="057373C3"/>
    <w:rsid w:val="059A34DA"/>
    <w:rsid w:val="059B734C"/>
    <w:rsid w:val="05C112E8"/>
    <w:rsid w:val="05CE4353"/>
    <w:rsid w:val="05CF5BDF"/>
    <w:rsid w:val="05D81DD9"/>
    <w:rsid w:val="061013A0"/>
    <w:rsid w:val="064416AA"/>
    <w:rsid w:val="06A3708D"/>
    <w:rsid w:val="06AB00B1"/>
    <w:rsid w:val="06CC1CD7"/>
    <w:rsid w:val="06DA70D7"/>
    <w:rsid w:val="070356B5"/>
    <w:rsid w:val="077632ED"/>
    <w:rsid w:val="07811622"/>
    <w:rsid w:val="07817814"/>
    <w:rsid w:val="078A61DF"/>
    <w:rsid w:val="07C04CC8"/>
    <w:rsid w:val="07E878CC"/>
    <w:rsid w:val="07E87C6B"/>
    <w:rsid w:val="07F06C92"/>
    <w:rsid w:val="07FB0E0D"/>
    <w:rsid w:val="080F7CCD"/>
    <w:rsid w:val="083568BD"/>
    <w:rsid w:val="08374DE3"/>
    <w:rsid w:val="08804899"/>
    <w:rsid w:val="08834CC9"/>
    <w:rsid w:val="088B1472"/>
    <w:rsid w:val="090A2F1F"/>
    <w:rsid w:val="09273ADC"/>
    <w:rsid w:val="097036E7"/>
    <w:rsid w:val="098E656B"/>
    <w:rsid w:val="099447D3"/>
    <w:rsid w:val="09D05CBA"/>
    <w:rsid w:val="09D7548C"/>
    <w:rsid w:val="09E63A80"/>
    <w:rsid w:val="0A3A75BC"/>
    <w:rsid w:val="0A4D0638"/>
    <w:rsid w:val="0A58515B"/>
    <w:rsid w:val="0A8B6BF2"/>
    <w:rsid w:val="0A9F5CB5"/>
    <w:rsid w:val="0AA062B1"/>
    <w:rsid w:val="0AB96449"/>
    <w:rsid w:val="0ACC3EB5"/>
    <w:rsid w:val="0ADD75BB"/>
    <w:rsid w:val="0B0D38CD"/>
    <w:rsid w:val="0B1C170E"/>
    <w:rsid w:val="0B35169E"/>
    <w:rsid w:val="0B487285"/>
    <w:rsid w:val="0B4A13AC"/>
    <w:rsid w:val="0B8E420A"/>
    <w:rsid w:val="0C370F69"/>
    <w:rsid w:val="0C3D7481"/>
    <w:rsid w:val="0C7454D4"/>
    <w:rsid w:val="0C8B217D"/>
    <w:rsid w:val="0CB75B53"/>
    <w:rsid w:val="0CF127D7"/>
    <w:rsid w:val="0CFA5163"/>
    <w:rsid w:val="0D097641"/>
    <w:rsid w:val="0D980021"/>
    <w:rsid w:val="0DA163F9"/>
    <w:rsid w:val="0DAD56B9"/>
    <w:rsid w:val="0DD566C4"/>
    <w:rsid w:val="0E02486F"/>
    <w:rsid w:val="0E3D2F5D"/>
    <w:rsid w:val="0E3F22A2"/>
    <w:rsid w:val="0E772EE5"/>
    <w:rsid w:val="0E8B20AA"/>
    <w:rsid w:val="0E9503CA"/>
    <w:rsid w:val="0EE26DF9"/>
    <w:rsid w:val="0EE30943"/>
    <w:rsid w:val="0F3141ED"/>
    <w:rsid w:val="0F4E62EA"/>
    <w:rsid w:val="0F821B8F"/>
    <w:rsid w:val="0F8C0A60"/>
    <w:rsid w:val="0FA07C0F"/>
    <w:rsid w:val="0FA364D6"/>
    <w:rsid w:val="0FCE6C96"/>
    <w:rsid w:val="0FE34343"/>
    <w:rsid w:val="0FF86012"/>
    <w:rsid w:val="10167D42"/>
    <w:rsid w:val="1051101C"/>
    <w:rsid w:val="105A2ADD"/>
    <w:rsid w:val="105B6F62"/>
    <w:rsid w:val="108E2EA4"/>
    <w:rsid w:val="10B3063E"/>
    <w:rsid w:val="10C613A6"/>
    <w:rsid w:val="10F1561E"/>
    <w:rsid w:val="111E4EA7"/>
    <w:rsid w:val="11715093"/>
    <w:rsid w:val="118A38B5"/>
    <w:rsid w:val="122E4A94"/>
    <w:rsid w:val="125F61EF"/>
    <w:rsid w:val="12737A03"/>
    <w:rsid w:val="12837C22"/>
    <w:rsid w:val="12CF31F9"/>
    <w:rsid w:val="12EA195B"/>
    <w:rsid w:val="12F479DF"/>
    <w:rsid w:val="132E735B"/>
    <w:rsid w:val="13331A89"/>
    <w:rsid w:val="1363320F"/>
    <w:rsid w:val="1387789C"/>
    <w:rsid w:val="13B74194"/>
    <w:rsid w:val="13DF42D8"/>
    <w:rsid w:val="142F7DC3"/>
    <w:rsid w:val="14494FEA"/>
    <w:rsid w:val="147B6B42"/>
    <w:rsid w:val="14937361"/>
    <w:rsid w:val="149868E6"/>
    <w:rsid w:val="14C1177D"/>
    <w:rsid w:val="14FC5116"/>
    <w:rsid w:val="15033088"/>
    <w:rsid w:val="150647E6"/>
    <w:rsid w:val="15101A52"/>
    <w:rsid w:val="15125849"/>
    <w:rsid w:val="154E7EC4"/>
    <w:rsid w:val="15BF2E22"/>
    <w:rsid w:val="15C23309"/>
    <w:rsid w:val="15C31A47"/>
    <w:rsid w:val="15F16D9A"/>
    <w:rsid w:val="15F24792"/>
    <w:rsid w:val="15F51CC1"/>
    <w:rsid w:val="15FE1378"/>
    <w:rsid w:val="15FE1EB4"/>
    <w:rsid w:val="16172661"/>
    <w:rsid w:val="16270A04"/>
    <w:rsid w:val="165069FC"/>
    <w:rsid w:val="16A920DF"/>
    <w:rsid w:val="173B43BC"/>
    <w:rsid w:val="178C691A"/>
    <w:rsid w:val="179453BC"/>
    <w:rsid w:val="183256DA"/>
    <w:rsid w:val="183B0D71"/>
    <w:rsid w:val="184968FC"/>
    <w:rsid w:val="185D1C5F"/>
    <w:rsid w:val="188C5585"/>
    <w:rsid w:val="18C27F65"/>
    <w:rsid w:val="18C402D3"/>
    <w:rsid w:val="18FA6BBD"/>
    <w:rsid w:val="191A3D61"/>
    <w:rsid w:val="192A2CC6"/>
    <w:rsid w:val="19332266"/>
    <w:rsid w:val="19B02F2D"/>
    <w:rsid w:val="19DA3B6D"/>
    <w:rsid w:val="19EF4D4D"/>
    <w:rsid w:val="19F04AD4"/>
    <w:rsid w:val="1A247E7E"/>
    <w:rsid w:val="1A2F6DF9"/>
    <w:rsid w:val="1A3168AB"/>
    <w:rsid w:val="1A4C05AB"/>
    <w:rsid w:val="1A4F0A64"/>
    <w:rsid w:val="1A747000"/>
    <w:rsid w:val="1AAD18E5"/>
    <w:rsid w:val="1ABC38F7"/>
    <w:rsid w:val="1AF22A1C"/>
    <w:rsid w:val="1AFD66F4"/>
    <w:rsid w:val="1B233A0E"/>
    <w:rsid w:val="1B657395"/>
    <w:rsid w:val="1B7C1123"/>
    <w:rsid w:val="1B8F7883"/>
    <w:rsid w:val="1B927AE6"/>
    <w:rsid w:val="1BB72DA5"/>
    <w:rsid w:val="1BC93515"/>
    <w:rsid w:val="1C1B3FE4"/>
    <w:rsid w:val="1C1C3DEE"/>
    <w:rsid w:val="1C230F64"/>
    <w:rsid w:val="1C2A6CE8"/>
    <w:rsid w:val="1C513BF0"/>
    <w:rsid w:val="1C8261A0"/>
    <w:rsid w:val="1CF31038"/>
    <w:rsid w:val="1D0113C9"/>
    <w:rsid w:val="1D05782C"/>
    <w:rsid w:val="1D6F78F4"/>
    <w:rsid w:val="1D7757F1"/>
    <w:rsid w:val="1D841F34"/>
    <w:rsid w:val="1DB72E7F"/>
    <w:rsid w:val="1DDB74E0"/>
    <w:rsid w:val="1DF003E7"/>
    <w:rsid w:val="1E2F61EF"/>
    <w:rsid w:val="1E3264F3"/>
    <w:rsid w:val="1E600A9D"/>
    <w:rsid w:val="1E750E13"/>
    <w:rsid w:val="1EB505E6"/>
    <w:rsid w:val="1EBD3B62"/>
    <w:rsid w:val="1F02429F"/>
    <w:rsid w:val="1F133081"/>
    <w:rsid w:val="1F590291"/>
    <w:rsid w:val="1F8046AD"/>
    <w:rsid w:val="1FA12681"/>
    <w:rsid w:val="205A10AE"/>
    <w:rsid w:val="207E3421"/>
    <w:rsid w:val="208A175C"/>
    <w:rsid w:val="2090579A"/>
    <w:rsid w:val="20AF45AF"/>
    <w:rsid w:val="215846DF"/>
    <w:rsid w:val="216412DB"/>
    <w:rsid w:val="21BD6DBB"/>
    <w:rsid w:val="21E14DFB"/>
    <w:rsid w:val="21F04A25"/>
    <w:rsid w:val="220D4E25"/>
    <w:rsid w:val="22345BE0"/>
    <w:rsid w:val="22521DD3"/>
    <w:rsid w:val="227B0690"/>
    <w:rsid w:val="228E5A58"/>
    <w:rsid w:val="22A35795"/>
    <w:rsid w:val="22A62B30"/>
    <w:rsid w:val="22ED3ED6"/>
    <w:rsid w:val="2325120A"/>
    <w:rsid w:val="23464916"/>
    <w:rsid w:val="23496B54"/>
    <w:rsid w:val="23532FBD"/>
    <w:rsid w:val="237B661E"/>
    <w:rsid w:val="238B4E5F"/>
    <w:rsid w:val="239520D3"/>
    <w:rsid w:val="23BF50C8"/>
    <w:rsid w:val="23CC07DA"/>
    <w:rsid w:val="23F24C55"/>
    <w:rsid w:val="241D1936"/>
    <w:rsid w:val="247C7073"/>
    <w:rsid w:val="2496308D"/>
    <w:rsid w:val="24A9374C"/>
    <w:rsid w:val="250E72F9"/>
    <w:rsid w:val="258777C9"/>
    <w:rsid w:val="2589209A"/>
    <w:rsid w:val="25B40CD0"/>
    <w:rsid w:val="25CB1E8B"/>
    <w:rsid w:val="25D9170E"/>
    <w:rsid w:val="25E0040C"/>
    <w:rsid w:val="25F3676D"/>
    <w:rsid w:val="26035576"/>
    <w:rsid w:val="2665006F"/>
    <w:rsid w:val="26A124F9"/>
    <w:rsid w:val="26AA092A"/>
    <w:rsid w:val="271C65E1"/>
    <w:rsid w:val="273A5487"/>
    <w:rsid w:val="274761A1"/>
    <w:rsid w:val="27937EDA"/>
    <w:rsid w:val="27C62288"/>
    <w:rsid w:val="27CF60B0"/>
    <w:rsid w:val="27D36696"/>
    <w:rsid w:val="27E234BC"/>
    <w:rsid w:val="28012C6B"/>
    <w:rsid w:val="280475E2"/>
    <w:rsid w:val="282C18E9"/>
    <w:rsid w:val="2833742E"/>
    <w:rsid w:val="28566230"/>
    <w:rsid w:val="285B7C69"/>
    <w:rsid w:val="289968CF"/>
    <w:rsid w:val="28A837EA"/>
    <w:rsid w:val="28B0150E"/>
    <w:rsid w:val="28D51D40"/>
    <w:rsid w:val="28D92271"/>
    <w:rsid w:val="293555E2"/>
    <w:rsid w:val="299A1AD2"/>
    <w:rsid w:val="299A61C2"/>
    <w:rsid w:val="29AC4DAC"/>
    <w:rsid w:val="29B80978"/>
    <w:rsid w:val="29CE07E6"/>
    <w:rsid w:val="29D17C38"/>
    <w:rsid w:val="29DA1C97"/>
    <w:rsid w:val="29FC37D4"/>
    <w:rsid w:val="2A587284"/>
    <w:rsid w:val="2A7427E2"/>
    <w:rsid w:val="2A893557"/>
    <w:rsid w:val="2A8B1681"/>
    <w:rsid w:val="2A933574"/>
    <w:rsid w:val="2AAB2012"/>
    <w:rsid w:val="2ABC59CB"/>
    <w:rsid w:val="2AC0562D"/>
    <w:rsid w:val="2AC11AAE"/>
    <w:rsid w:val="2ADD2233"/>
    <w:rsid w:val="2AE84D10"/>
    <w:rsid w:val="2B0E039C"/>
    <w:rsid w:val="2B2F6BD9"/>
    <w:rsid w:val="2B4658AA"/>
    <w:rsid w:val="2B4A75F4"/>
    <w:rsid w:val="2B8E1B57"/>
    <w:rsid w:val="2B8E71EA"/>
    <w:rsid w:val="2B957AF1"/>
    <w:rsid w:val="2BA705F6"/>
    <w:rsid w:val="2BD36FC0"/>
    <w:rsid w:val="2BE04E2E"/>
    <w:rsid w:val="2C0B2A13"/>
    <w:rsid w:val="2C201604"/>
    <w:rsid w:val="2C31119D"/>
    <w:rsid w:val="2C3328C4"/>
    <w:rsid w:val="2C5548F9"/>
    <w:rsid w:val="2D2B1461"/>
    <w:rsid w:val="2DA319DC"/>
    <w:rsid w:val="2DF06759"/>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826FF9"/>
    <w:rsid w:val="30985912"/>
    <w:rsid w:val="309A6E65"/>
    <w:rsid w:val="30E60CDF"/>
    <w:rsid w:val="31183D8E"/>
    <w:rsid w:val="312B136C"/>
    <w:rsid w:val="3165141F"/>
    <w:rsid w:val="31771119"/>
    <w:rsid w:val="31934494"/>
    <w:rsid w:val="319D55BA"/>
    <w:rsid w:val="31BD1137"/>
    <w:rsid w:val="31CE1FAB"/>
    <w:rsid w:val="31F1162F"/>
    <w:rsid w:val="31F21635"/>
    <w:rsid w:val="31F46862"/>
    <w:rsid w:val="321859D2"/>
    <w:rsid w:val="322E5C7B"/>
    <w:rsid w:val="323D28AC"/>
    <w:rsid w:val="32492609"/>
    <w:rsid w:val="328F6057"/>
    <w:rsid w:val="32A75EF3"/>
    <w:rsid w:val="32AE7831"/>
    <w:rsid w:val="32B37FA4"/>
    <w:rsid w:val="32C178A8"/>
    <w:rsid w:val="32DB1F0F"/>
    <w:rsid w:val="33413E8A"/>
    <w:rsid w:val="335E264F"/>
    <w:rsid w:val="337530C8"/>
    <w:rsid w:val="338059AD"/>
    <w:rsid w:val="33DB2E5A"/>
    <w:rsid w:val="33EA7F3E"/>
    <w:rsid w:val="33F1490B"/>
    <w:rsid w:val="33FD5E57"/>
    <w:rsid w:val="340C24DE"/>
    <w:rsid w:val="340F4394"/>
    <w:rsid w:val="342D7E99"/>
    <w:rsid w:val="345B10E7"/>
    <w:rsid w:val="346720B7"/>
    <w:rsid w:val="347C5E46"/>
    <w:rsid w:val="35165627"/>
    <w:rsid w:val="352C0C5B"/>
    <w:rsid w:val="35490544"/>
    <w:rsid w:val="35904376"/>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836ECB"/>
    <w:rsid w:val="37945B49"/>
    <w:rsid w:val="379D3B99"/>
    <w:rsid w:val="37D4553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8D6D94"/>
    <w:rsid w:val="3C94066E"/>
    <w:rsid w:val="3CFE624A"/>
    <w:rsid w:val="3D1251D3"/>
    <w:rsid w:val="3D173430"/>
    <w:rsid w:val="3D470E27"/>
    <w:rsid w:val="3D475A63"/>
    <w:rsid w:val="3DCB73E0"/>
    <w:rsid w:val="3E032F87"/>
    <w:rsid w:val="3E287885"/>
    <w:rsid w:val="3E447FF5"/>
    <w:rsid w:val="3E536639"/>
    <w:rsid w:val="3E565DBA"/>
    <w:rsid w:val="3EEE28F9"/>
    <w:rsid w:val="3F1539A0"/>
    <w:rsid w:val="3F1E4982"/>
    <w:rsid w:val="3F516B77"/>
    <w:rsid w:val="3FBB3A60"/>
    <w:rsid w:val="3FEE6A4A"/>
    <w:rsid w:val="401F30A7"/>
    <w:rsid w:val="402A4D00"/>
    <w:rsid w:val="40457BFD"/>
    <w:rsid w:val="40705383"/>
    <w:rsid w:val="40831E81"/>
    <w:rsid w:val="40891F67"/>
    <w:rsid w:val="408C76E2"/>
    <w:rsid w:val="409057BD"/>
    <w:rsid w:val="40C10231"/>
    <w:rsid w:val="41186225"/>
    <w:rsid w:val="414E2379"/>
    <w:rsid w:val="416F5968"/>
    <w:rsid w:val="417A6877"/>
    <w:rsid w:val="418324AC"/>
    <w:rsid w:val="41A04200"/>
    <w:rsid w:val="41A32F85"/>
    <w:rsid w:val="41B858E8"/>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7058"/>
    <w:rsid w:val="438A19A8"/>
    <w:rsid w:val="439439C5"/>
    <w:rsid w:val="4395062C"/>
    <w:rsid w:val="439E7A84"/>
    <w:rsid w:val="43D46D19"/>
    <w:rsid w:val="44026924"/>
    <w:rsid w:val="44236751"/>
    <w:rsid w:val="448C78B8"/>
    <w:rsid w:val="44B2410D"/>
    <w:rsid w:val="44CB1108"/>
    <w:rsid w:val="44E4129A"/>
    <w:rsid w:val="452C5A2B"/>
    <w:rsid w:val="453F611C"/>
    <w:rsid w:val="454D6E39"/>
    <w:rsid w:val="45C94E39"/>
    <w:rsid w:val="45CD5D18"/>
    <w:rsid w:val="45D568DB"/>
    <w:rsid w:val="45E64357"/>
    <w:rsid w:val="46051FED"/>
    <w:rsid w:val="46125FF1"/>
    <w:rsid w:val="46320679"/>
    <w:rsid w:val="46495A0E"/>
    <w:rsid w:val="464B079B"/>
    <w:rsid w:val="468077A8"/>
    <w:rsid w:val="468E6ECD"/>
    <w:rsid w:val="46AB53AC"/>
    <w:rsid w:val="46E07413"/>
    <w:rsid w:val="46EA56DB"/>
    <w:rsid w:val="4704021F"/>
    <w:rsid w:val="47616CD0"/>
    <w:rsid w:val="476C6251"/>
    <w:rsid w:val="479C322F"/>
    <w:rsid w:val="47A06F4B"/>
    <w:rsid w:val="47A978DA"/>
    <w:rsid w:val="48037F6C"/>
    <w:rsid w:val="480C6C1B"/>
    <w:rsid w:val="48295411"/>
    <w:rsid w:val="48B268BC"/>
    <w:rsid w:val="48B70BA6"/>
    <w:rsid w:val="48DF13FB"/>
    <w:rsid w:val="49157196"/>
    <w:rsid w:val="492D0C09"/>
    <w:rsid w:val="493B7D23"/>
    <w:rsid w:val="494B6BC0"/>
    <w:rsid w:val="49545F4C"/>
    <w:rsid w:val="497038CD"/>
    <w:rsid w:val="497205C6"/>
    <w:rsid w:val="49730A66"/>
    <w:rsid w:val="499A66C3"/>
    <w:rsid w:val="49AC538B"/>
    <w:rsid w:val="49F220F0"/>
    <w:rsid w:val="4A532137"/>
    <w:rsid w:val="4A784075"/>
    <w:rsid w:val="4A9E208F"/>
    <w:rsid w:val="4AEC33B6"/>
    <w:rsid w:val="4B242E77"/>
    <w:rsid w:val="4B2451E8"/>
    <w:rsid w:val="4B320889"/>
    <w:rsid w:val="4B3D4012"/>
    <w:rsid w:val="4B4A24A6"/>
    <w:rsid w:val="4B8F2E5B"/>
    <w:rsid w:val="4B945212"/>
    <w:rsid w:val="4BC2454D"/>
    <w:rsid w:val="4BF27690"/>
    <w:rsid w:val="4C204881"/>
    <w:rsid w:val="4C775DE6"/>
    <w:rsid w:val="4C82133E"/>
    <w:rsid w:val="4CA3109F"/>
    <w:rsid w:val="4CB47B10"/>
    <w:rsid w:val="4CD9455C"/>
    <w:rsid w:val="4CE3486E"/>
    <w:rsid w:val="4CEB5B8E"/>
    <w:rsid w:val="4CF91653"/>
    <w:rsid w:val="4D13604C"/>
    <w:rsid w:val="4D2671DF"/>
    <w:rsid w:val="4D2D6907"/>
    <w:rsid w:val="4D376EA9"/>
    <w:rsid w:val="4D845D59"/>
    <w:rsid w:val="4DA80E22"/>
    <w:rsid w:val="4DB81F38"/>
    <w:rsid w:val="4DDB52DD"/>
    <w:rsid w:val="4DE92DD7"/>
    <w:rsid w:val="4DFE7BC4"/>
    <w:rsid w:val="4E0062C6"/>
    <w:rsid w:val="4E0D5475"/>
    <w:rsid w:val="4E6B6CEB"/>
    <w:rsid w:val="4EA1757E"/>
    <w:rsid w:val="4EA52677"/>
    <w:rsid w:val="4EAD5D22"/>
    <w:rsid w:val="4ECE6225"/>
    <w:rsid w:val="4F7714C8"/>
    <w:rsid w:val="4F796063"/>
    <w:rsid w:val="4F7B6890"/>
    <w:rsid w:val="4F8D5360"/>
    <w:rsid w:val="4FA265C1"/>
    <w:rsid w:val="4FAF2ACB"/>
    <w:rsid w:val="4FE0775F"/>
    <w:rsid w:val="4FE84A65"/>
    <w:rsid w:val="4FF14958"/>
    <w:rsid w:val="503B5A8A"/>
    <w:rsid w:val="505852F6"/>
    <w:rsid w:val="507E72C1"/>
    <w:rsid w:val="508235A6"/>
    <w:rsid w:val="50BB3ACD"/>
    <w:rsid w:val="50DE33C7"/>
    <w:rsid w:val="512F6EC2"/>
    <w:rsid w:val="513242BC"/>
    <w:rsid w:val="513403C7"/>
    <w:rsid w:val="518B38CB"/>
    <w:rsid w:val="518B4FD1"/>
    <w:rsid w:val="518E0C97"/>
    <w:rsid w:val="51E145FD"/>
    <w:rsid w:val="51E51CC3"/>
    <w:rsid w:val="520F62ED"/>
    <w:rsid w:val="52350240"/>
    <w:rsid w:val="52670AC3"/>
    <w:rsid w:val="529A77A5"/>
    <w:rsid w:val="52C5623B"/>
    <w:rsid w:val="53396CC8"/>
    <w:rsid w:val="534D5B9F"/>
    <w:rsid w:val="534E3B27"/>
    <w:rsid w:val="53523F58"/>
    <w:rsid w:val="536C4A8A"/>
    <w:rsid w:val="53B11D35"/>
    <w:rsid w:val="53ED6794"/>
    <w:rsid w:val="53EF1D95"/>
    <w:rsid w:val="542657F3"/>
    <w:rsid w:val="542A50A2"/>
    <w:rsid w:val="542D5399"/>
    <w:rsid w:val="543E14AB"/>
    <w:rsid w:val="54B643C9"/>
    <w:rsid w:val="54CF10E0"/>
    <w:rsid w:val="54DD2BD3"/>
    <w:rsid w:val="553E317D"/>
    <w:rsid w:val="554D2C1E"/>
    <w:rsid w:val="556D7264"/>
    <w:rsid w:val="559230BD"/>
    <w:rsid w:val="55E907A3"/>
    <w:rsid w:val="55E92CB5"/>
    <w:rsid w:val="56325307"/>
    <w:rsid w:val="5659474A"/>
    <w:rsid w:val="56732B47"/>
    <w:rsid w:val="56D504BB"/>
    <w:rsid w:val="570F5D54"/>
    <w:rsid w:val="570F6504"/>
    <w:rsid w:val="5733660F"/>
    <w:rsid w:val="57343CB7"/>
    <w:rsid w:val="573834F1"/>
    <w:rsid w:val="57463334"/>
    <w:rsid w:val="574B6739"/>
    <w:rsid w:val="574D21DE"/>
    <w:rsid w:val="578B6597"/>
    <w:rsid w:val="57942C39"/>
    <w:rsid w:val="57EB2081"/>
    <w:rsid w:val="57FC2F43"/>
    <w:rsid w:val="583F04BE"/>
    <w:rsid w:val="5845276D"/>
    <w:rsid w:val="58641F03"/>
    <w:rsid w:val="58BD4EAA"/>
    <w:rsid w:val="58C534B8"/>
    <w:rsid w:val="58DA20C8"/>
    <w:rsid w:val="58F8378F"/>
    <w:rsid w:val="58FE6BB9"/>
    <w:rsid w:val="592521E5"/>
    <w:rsid w:val="592E0C31"/>
    <w:rsid w:val="5930567C"/>
    <w:rsid w:val="593259F3"/>
    <w:rsid w:val="594531C0"/>
    <w:rsid w:val="59A2106F"/>
    <w:rsid w:val="59A25083"/>
    <w:rsid w:val="59B02771"/>
    <w:rsid w:val="59B64E5B"/>
    <w:rsid w:val="59C41AA5"/>
    <w:rsid w:val="5A196198"/>
    <w:rsid w:val="5A36290A"/>
    <w:rsid w:val="5AAE2321"/>
    <w:rsid w:val="5AB52004"/>
    <w:rsid w:val="5AC454CC"/>
    <w:rsid w:val="5AED7240"/>
    <w:rsid w:val="5B004781"/>
    <w:rsid w:val="5B3C0D3E"/>
    <w:rsid w:val="5B416702"/>
    <w:rsid w:val="5B4E445F"/>
    <w:rsid w:val="5B510FBA"/>
    <w:rsid w:val="5B5E370D"/>
    <w:rsid w:val="5B713427"/>
    <w:rsid w:val="5B733CC7"/>
    <w:rsid w:val="5B8152A6"/>
    <w:rsid w:val="5B964C3B"/>
    <w:rsid w:val="5BF847A4"/>
    <w:rsid w:val="5C1F20CC"/>
    <w:rsid w:val="5C20337F"/>
    <w:rsid w:val="5C4D30E7"/>
    <w:rsid w:val="5C4F430C"/>
    <w:rsid w:val="5C514191"/>
    <w:rsid w:val="5C8B0489"/>
    <w:rsid w:val="5CF73949"/>
    <w:rsid w:val="5D3038FF"/>
    <w:rsid w:val="5D4208CB"/>
    <w:rsid w:val="5DBA71CA"/>
    <w:rsid w:val="5DCB432F"/>
    <w:rsid w:val="5DD6127D"/>
    <w:rsid w:val="5DD956B5"/>
    <w:rsid w:val="5DE04163"/>
    <w:rsid w:val="5DEC7C19"/>
    <w:rsid w:val="5DFC0EB0"/>
    <w:rsid w:val="5E086E60"/>
    <w:rsid w:val="5E5B4B1E"/>
    <w:rsid w:val="5E806603"/>
    <w:rsid w:val="5EDC2437"/>
    <w:rsid w:val="5F0D17C2"/>
    <w:rsid w:val="5F196376"/>
    <w:rsid w:val="5F3C0936"/>
    <w:rsid w:val="5F5A2BA2"/>
    <w:rsid w:val="5F683B20"/>
    <w:rsid w:val="5F6A1B70"/>
    <w:rsid w:val="5F715923"/>
    <w:rsid w:val="5F74528F"/>
    <w:rsid w:val="5F905960"/>
    <w:rsid w:val="5FAD0C82"/>
    <w:rsid w:val="600E16AB"/>
    <w:rsid w:val="603C6B90"/>
    <w:rsid w:val="608B4D11"/>
    <w:rsid w:val="60B146AA"/>
    <w:rsid w:val="60E930B4"/>
    <w:rsid w:val="61034DA8"/>
    <w:rsid w:val="612D5C44"/>
    <w:rsid w:val="61391E0A"/>
    <w:rsid w:val="616A0794"/>
    <w:rsid w:val="61716ECA"/>
    <w:rsid w:val="61984689"/>
    <w:rsid w:val="619B0D95"/>
    <w:rsid w:val="61A00D6C"/>
    <w:rsid w:val="61EC3C39"/>
    <w:rsid w:val="62093EA3"/>
    <w:rsid w:val="620B0745"/>
    <w:rsid w:val="6229181C"/>
    <w:rsid w:val="62293292"/>
    <w:rsid w:val="623C5690"/>
    <w:rsid w:val="624469DA"/>
    <w:rsid w:val="625B2CD4"/>
    <w:rsid w:val="62772330"/>
    <w:rsid w:val="629851A9"/>
    <w:rsid w:val="62B657FF"/>
    <w:rsid w:val="62C03657"/>
    <w:rsid w:val="62DF584D"/>
    <w:rsid w:val="62F96812"/>
    <w:rsid w:val="632D1B08"/>
    <w:rsid w:val="634B6B7B"/>
    <w:rsid w:val="637729C4"/>
    <w:rsid w:val="63813430"/>
    <w:rsid w:val="63A40F54"/>
    <w:rsid w:val="63E76134"/>
    <w:rsid w:val="64383FFB"/>
    <w:rsid w:val="6457654C"/>
    <w:rsid w:val="64834708"/>
    <w:rsid w:val="64A956EF"/>
    <w:rsid w:val="64AC0A38"/>
    <w:rsid w:val="64D43A06"/>
    <w:rsid w:val="64D45316"/>
    <w:rsid w:val="64D7550B"/>
    <w:rsid w:val="651A5C4B"/>
    <w:rsid w:val="653116C9"/>
    <w:rsid w:val="653A164C"/>
    <w:rsid w:val="65B31BCC"/>
    <w:rsid w:val="65B87A10"/>
    <w:rsid w:val="65D35C16"/>
    <w:rsid w:val="6606215B"/>
    <w:rsid w:val="66540648"/>
    <w:rsid w:val="666879C6"/>
    <w:rsid w:val="66B74724"/>
    <w:rsid w:val="66EA1E3B"/>
    <w:rsid w:val="66ED5049"/>
    <w:rsid w:val="671B3499"/>
    <w:rsid w:val="6774663E"/>
    <w:rsid w:val="67956067"/>
    <w:rsid w:val="67B71CB2"/>
    <w:rsid w:val="68031777"/>
    <w:rsid w:val="68353249"/>
    <w:rsid w:val="685272E2"/>
    <w:rsid w:val="68767A40"/>
    <w:rsid w:val="68B03C37"/>
    <w:rsid w:val="68C11D22"/>
    <w:rsid w:val="68D01D60"/>
    <w:rsid w:val="68D575AA"/>
    <w:rsid w:val="68EB7C0C"/>
    <w:rsid w:val="68F0116E"/>
    <w:rsid w:val="68F73295"/>
    <w:rsid w:val="69085BD7"/>
    <w:rsid w:val="69154FCB"/>
    <w:rsid w:val="69680059"/>
    <w:rsid w:val="69882A50"/>
    <w:rsid w:val="69931B97"/>
    <w:rsid w:val="699879F8"/>
    <w:rsid w:val="69C8110F"/>
    <w:rsid w:val="6A287ACE"/>
    <w:rsid w:val="6A544FCD"/>
    <w:rsid w:val="6AC26EA2"/>
    <w:rsid w:val="6AC44695"/>
    <w:rsid w:val="6B477EF6"/>
    <w:rsid w:val="6B513865"/>
    <w:rsid w:val="6B903974"/>
    <w:rsid w:val="6B9A256C"/>
    <w:rsid w:val="6BA373FF"/>
    <w:rsid w:val="6BEB1E5F"/>
    <w:rsid w:val="6C4957FC"/>
    <w:rsid w:val="6C515BF6"/>
    <w:rsid w:val="6C53730E"/>
    <w:rsid w:val="6C5534FB"/>
    <w:rsid w:val="6C61176F"/>
    <w:rsid w:val="6C666306"/>
    <w:rsid w:val="6CCC2D95"/>
    <w:rsid w:val="6D387925"/>
    <w:rsid w:val="6D3E0CE6"/>
    <w:rsid w:val="6D5A7AE3"/>
    <w:rsid w:val="6D6E3F95"/>
    <w:rsid w:val="6DB151E2"/>
    <w:rsid w:val="6DBF39F3"/>
    <w:rsid w:val="6DC0644E"/>
    <w:rsid w:val="6DCF6202"/>
    <w:rsid w:val="6DE71080"/>
    <w:rsid w:val="6E137528"/>
    <w:rsid w:val="6E3E07AD"/>
    <w:rsid w:val="6E80463B"/>
    <w:rsid w:val="6E895A0C"/>
    <w:rsid w:val="6EC56FAA"/>
    <w:rsid w:val="6F22793F"/>
    <w:rsid w:val="6F457884"/>
    <w:rsid w:val="6F531B65"/>
    <w:rsid w:val="6F570F4E"/>
    <w:rsid w:val="6F7C1012"/>
    <w:rsid w:val="6F883155"/>
    <w:rsid w:val="6F8C7070"/>
    <w:rsid w:val="6F9E118C"/>
    <w:rsid w:val="6FA2085B"/>
    <w:rsid w:val="6FE70842"/>
    <w:rsid w:val="6FEA4E60"/>
    <w:rsid w:val="6FF53E70"/>
    <w:rsid w:val="700713B2"/>
    <w:rsid w:val="701A2DBF"/>
    <w:rsid w:val="703D260A"/>
    <w:rsid w:val="70642ED3"/>
    <w:rsid w:val="70763652"/>
    <w:rsid w:val="70A15996"/>
    <w:rsid w:val="70A2792D"/>
    <w:rsid w:val="70C0193D"/>
    <w:rsid w:val="70F43E95"/>
    <w:rsid w:val="713779A1"/>
    <w:rsid w:val="715168D7"/>
    <w:rsid w:val="71806AFE"/>
    <w:rsid w:val="718A55DC"/>
    <w:rsid w:val="71FE5EAA"/>
    <w:rsid w:val="720C6BF9"/>
    <w:rsid w:val="72447793"/>
    <w:rsid w:val="724E26A6"/>
    <w:rsid w:val="727601AB"/>
    <w:rsid w:val="72953F4C"/>
    <w:rsid w:val="72BA2638"/>
    <w:rsid w:val="72E24278"/>
    <w:rsid w:val="72F247EE"/>
    <w:rsid w:val="73046E24"/>
    <w:rsid w:val="73117CBC"/>
    <w:rsid w:val="731D3DC6"/>
    <w:rsid w:val="73501BC3"/>
    <w:rsid w:val="73785811"/>
    <w:rsid w:val="73843B37"/>
    <w:rsid w:val="73AA2AB8"/>
    <w:rsid w:val="73D8014A"/>
    <w:rsid w:val="73F076FD"/>
    <w:rsid w:val="7448595E"/>
    <w:rsid w:val="74490D87"/>
    <w:rsid w:val="746E1E39"/>
    <w:rsid w:val="74A148F5"/>
    <w:rsid w:val="74A25915"/>
    <w:rsid w:val="74D0444D"/>
    <w:rsid w:val="750000AA"/>
    <w:rsid w:val="750A7ABF"/>
    <w:rsid w:val="754931B4"/>
    <w:rsid w:val="75706FDE"/>
    <w:rsid w:val="75775492"/>
    <w:rsid w:val="759077E6"/>
    <w:rsid w:val="75940C8C"/>
    <w:rsid w:val="75BB2BFD"/>
    <w:rsid w:val="75C624A0"/>
    <w:rsid w:val="75C940ED"/>
    <w:rsid w:val="75CE763E"/>
    <w:rsid w:val="75E83013"/>
    <w:rsid w:val="765748C8"/>
    <w:rsid w:val="76680ED5"/>
    <w:rsid w:val="76AC7129"/>
    <w:rsid w:val="76D15FF3"/>
    <w:rsid w:val="76D71D89"/>
    <w:rsid w:val="773C2D8E"/>
    <w:rsid w:val="77550A67"/>
    <w:rsid w:val="77B83BB6"/>
    <w:rsid w:val="77BA2D12"/>
    <w:rsid w:val="7855561B"/>
    <w:rsid w:val="7856695F"/>
    <w:rsid w:val="7866427B"/>
    <w:rsid w:val="78B06E49"/>
    <w:rsid w:val="78F70F79"/>
    <w:rsid w:val="78F732D8"/>
    <w:rsid w:val="790F1791"/>
    <w:rsid w:val="791F3849"/>
    <w:rsid w:val="797350BA"/>
    <w:rsid w:val="79775EC9"/>
    <w:rsid w:val="799464C4"/>
    <w:rsid w:val="79D00415"/>
    <w:rsid w:val="79EE2754"/>
    <w:rsid w:val="7A1A7F37"/>
    <w:rsid w:val="7A1C7B11"/>
    <w:rsid w:val="7A227394"/>
    <w:rsid w:val="7A2F4AE0"/>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7477AD"/>
    <w:rsid w:val="7DBB0FE6"/>
    <w:rsid w:val="7DEB2B99"/>
    <w:rsid w:val="7DF25444"/>
    <w:rsid w:val="7DF27933"/>
    <w:rsid w:val="7E1A21B9"/>
    <w:rsid w:val="7E2C708B"/>
    <w:rsid w:val="7E6B4778"/>
    <w:rsid w:val="7E9B2B28"/>
    <w:rsid w:val="7EB910BD"/>
    <w:rsid w:val="7F476E1E"/>
    <w:rsid w:val="7FA15EE9"/>
    <w:rsid w:val="7FA77E3B"/>
    <w:rsid w:val="7FF10E47"/>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numPr>
        <w:ilvl w:val="0"/>
        <w:numId w:val="1"/>
      </w:numPr>
      <w:spacing w:line="360" w:lineRule="auto"/>
      <w:ind w:firstLine="480" w:firstLineChars="200"/>
      <w:jc w:val="left"/>
      <w:outlineLvl w:val="1"/>
    </w:pPr>
    <w:rPr>
      <w:rFonts w:ascii="Arial" w:hAnsi="Arial" w:eastAsia="宋体" w:cs="Times New Roman"/>
      <w:color w:val="000000" w:themeColor="text1"/>
      <w:sz w:val="24"/>
      <w:szCs w:val="24"/>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FollowedHyperlink"/>
    <w:basedOn w:val="8"/>
    <w:unhideWhenUsed/>
    <w:qFormat/>
    <w:uiPriority w:val="0"/>
    <w:rPr>
      <w:color w:val="0091F2"/>
      <w:sz w:val="18"/>
      <w:szCs w:val="18"/>
      <w:u w:val="none"/>
    </w:rPr>
  </w:style>
  <w:style w:type="character" w:styleId="11">
    <w:name w:val="Hyperlink"/>
    <w:basedOn w:val="8"/>
    <w:unhideWhenUsed/>
    <w:qFormat/>
    <w:uiPriority w:val="0"/>
    <w:rPr>
      <w:color w:val="0091F2"/>
      <w:sz w:val="18"/>
      <w:szCs w:val="18"/>
      <w:u w:val="none"/>
    </w:rPr>
  </w:style>
  <w:style w:type="character" w:styleId="12">
    <w:name w:val="HTML Code"/>
    <w:basedOn w:val="8"/>
    <w:unhideWhenUsed/>
    <w:qFormat/>
    <w:uiPriority w:val="0"/>
    <w:rPr>
      <w:rFonts w:ascii="Courier New" w:hAnsi="Courier New"/>
      <w:sz w:val="20"/>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表段落1"/>
    <w:basedOn w:val="1"/>
    <w:qFormat/>
    <w:uiPriority w:val="34"/>
    <w:pPr>
      <w:spacing w:before="206"/>
      <w:ind w:left="959" w:hanging="361"/>
    </w:pPr>
  </w:style>
  <w:style w:type="character" w:customStyle="1" w:styleId="16">
    <w:name w:val="cd_message"/>
    <w:basedOn w:val="8"/>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Char"/>
    <w:basedOn w:val="8"/>
    <w:link w:val="7"/>
    <w:qFormat/>
    <w:uiPriority w:val="0"/>
    <w:rPr>
      <w:kern w:val="2"/>
      <w:sz w:val="18"/>
      <w:szCs w:val="18"/>
    </w:rPr>
  </w:style>
  <w:style w:type="character" w:customStyle="1" w:styleId="20">
    <w:name w:val="common_over_page_btn1"/>
    <w:basedOn w:val="8"/>
    <w:qFormat/>
    <w:uiPriority w:val="0"/>
  </w:style>
  <w:style w:type="character" w:customStyle="1" w:styleId="21">
    <w:name w:val="common_over_page_btn2"/>
    <w:basedOn w:val="8"/>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customStyle="1"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4</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2023-04-21T06:05:22Z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