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rFonts w:ascii="宋体" w:cs="宋体"/>
          <w:color w:val="000000"/>
          <w:kern w:val="0"/>
          <w:sz w:val="72"/>
          <w:szCs w:val="72"/>
          <w:shd w:val="clear" w:color="auto" w:fill="FFFFFF"/>
        </w:rPr>
      </w:pPr>
    </w:p>
    <w:p>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color w:val="000000"/>
          <w:kern w:val="0"/>
          <w:sz w:val="52"/>
          <w:szCs w:val="52"/>
          <w:shd w:val="clear" w:color="auto" w:fill="FFFFFF"/>
        </w:rPr>
        <w:t> </w:t>
      </w:r>
    </w:p>
    <w:p>
      <w:pPr>
        <w:widowControl/>
        <w:shd w:val="clear" w:color="auto" w:fill="FFFFFF"/>
        <w:jc w:val="center"/>
        <w:rPr>
          <w:color w:val="000000"/>
          <w:szCs w:val="21"/>
        </w:rPr>
      </w:pPr>
      <w:r>
        <w:rPr>
          <w:rFonts w:hint="eastAsia" w:ascii="宋体" w:hAnsi="宋体" w:cs="宋体"/>
          <w:color w:val="000000"/>
          <w:kern w:val="0"/>
          <w:sz w:val="36"/>
          <w:szCs w:val="36"/>
          <w:shd w:val="clear" w:color="auto" w:fill="FFFFFF"/>
        </w:rPr>
        <w:t>采购公开比选项目</w:t>
      </w:r>
      <w:r>
        <w:rPr>
          <w:rFonts w:hint="eastAsia" w:ascii="宋体" w:hAnsi="宋体" w:cs="宋体"/>
          <w:color w:val="000000"/>
          <w:kern w:val="0"/>
          <w:sz w:val="36"/>
          <w:szCs w:val="36"/>
          <w:shd w:val="clear" w:color="auto" w:fill="FFFFFF"/>
          <w:lang w:eastAsia="zh-CN"/>
        </w:rPr>
        <w:t>：</w:t>
      </w:r>
      <w:r>
        <w:rPr>
          <w:rFonts w:hint="eastAsia" w:ascii="宋体" w:hAnsi="宋体" w:cs="宋体"/>
          <w:color w:val="000000"/>
          <w:kern w:val="0"/>
          <w:sz w:val="36"/>
          <w:szCs w:val="36"/>
          <w:shd w:val="clear" w:color="auto" w:fill="FFFFFF"/>
        </w:rPr>
        <w:t>液氨（槽车）</w:t>
      </w:r>
    </w:p>
    <w:p>
      <w:pPr>
        <w:widowControl/>
        <w:shd w:val="clear" w:color="auto" w:fill="FFFFFF"/>
        <w:jc w:val="center"/>
        <w:rPr>
          <w:rFonts w:hint="eastAsia" w:eastAsia="宋体"/>
          <w:color w:val="000000"/>
          <w:szCs w:val="21"/>
          <w:lang w:eastAsia="zh-CN"/>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项目编号：202</w:t>
      </w:r>
      <w:r>
        <w:rPr>
          <w:rFonts w:hint="eastAsia" w:ascii="宋体" w:hAnsi="宋体" w:cs="宋体"/>
          <w:color w:val="000000"/>
          <w:kern w:val="0"/>
          <w:sz w:val="36"/>
          <w:szCs w:val="36"/>
          <w:shd w:val="clear" w:color="auto" w:fill="FFFFFF"/>
          <w:lang w:val="en-US" w:eastAsia="zh-CN"/>
        </w:rPr>
        <w:t>3</w:t>
      </w:r>
      <w:r>
        <w:rPr>
          <w:rFonts w:hint="eastAsia" w:ascii="宋体" w:hAnsi="宋体" w:cs="宋体"/>
          <w:color w:val="000000"/>
          <w:kern w:val="0"/>
          <w:sz w:val="36"/>
          <w:szCs w:val="36"/>
          <w:shd w:val="clear" w:color="auto" w:fill="FFFFFF"/>
        </w:rPr>
        <w:t>-</w:t>
      </w:r>
      <w:r>
        <w:rPr>
          <w:rFonts w:hint="eastAsia" w:ascii="宋体" w:hAnsi="宋体" w:cs="宋体"/>
          <w:color w:val="000000"/>
          <w:kern w:val="0"/>
          <w:sz w:val="36"/>
          <w:szCs w:val="36"/>
          <w:shd w:val="clear" w:color="auto" w:fill="FFFFFF"/>
          <w:lang w:val="en-US" w:eastAsia="zh-CN"/>
        </w:rPr>
        <w:t>FHC</w:t>
      </w:r>
      <w:r>
        <w:rPr>
          <w:rFonts w:hint="eastAsia" w:ascii="宋体" w:hAnsi="宋体" w:cs="宋体"/>
          <w:color w:val="000000"/>
          <w:kern w:val="0"/>
          <w:sz w:val="36"/>
          <w:szCs w:val="36"/>
          <w:shd w:val="clear" w:color="auto" w:fill="FFFFFF"/>
        </w:rPr>
        <w:t>-液氨（槽车）-112</w:t>
      </w:r>
      <w:r>
        <w:rPr>
          <w:rFonts w:hint="eastAsia" w:ascii="宋体" w:hAnsi="宋体" w:cs="宋体"/>
          <w:color w:val="000000"/>
          <w:kern w:val="0"/>
          <w:sz w:val="36"/>
          <w:szCs w:val="36"/>
          <w:shd w:val="clear" w:color="auto" w:fill="FFFFFF"/>
          <w:lang w:val="en-US" w:eastAsia="zh-CN"/>
        </w:rPr>
        <w:t>1</w:t>
      </w:r>
    </w:p>
    <w:p>
      <w:pPr>
        <w:widowControl/>
        <w:shd w:val="clear" w:color="auto" w:fill="FFFFFF"/>
        <w:rPr>
          <w:color w:val="000000"/>
          <w:szCs w:val="21"/>
        </w:rPr>
      </w:pP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szCs w:val="21"/>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pPr>
        <w:widowControl/>
        <w:shd w:val="clear" w:color="auto" w:fill="FFFFFF"/>
        <w:rPr>
          <w:color w:val="000000"/>
          <w:kern w:val="0"/>
          <w:sz w:val="52"/>
          <w:szCs w:val="52"/>
          <w:shd w:val="clear" w:color="auto" w:fill="FFFFFF"/>
        </w:rPr>
      </w:pPr>
    </w:p>
    <w:p>
      <w:pPr>
        <w:widowControl/>
        <w:shd w:val="clear" w:color="auto" w:fill="FFFFFF"/>
        <w:jc w:val="right"/>
        <w:rPr>
          <w:color w:val="000000"/>
          <w:szCs w:val="21"/>
        </w:rPr>
      </w:pPr>
      <w:r>
        <w:rPr>
          <w:color w:val="000000"/>
          <w:kern w:val="0"/>
          <w:sz w:val="52"/>
          <w:szCs w:val="52"/>
          <w:shd w:val="clear" w:color="auto" w:fill="FFFFFF"/>
        </w:rPr>
        <w:t> </w:t>
      </w:r>
    </w:p>
    <w:p>
      <w:pPr>
        <w:widowControl/>
        <w:shd w:val="clear" w:color="auto" w:fill="FFFFFF"/>
        <w:jc w:val="right"/>
        <w:rPr>
          <w:color w:val="000000"/>
          <w:szCs w:val="21"/>
        </w:rPr>
      </w:pPr>
      <w:r>
        <w:rPr>
          <w:rFonts w:hint="eastAsia" w:ascii="宋体" w:hAnsi="宋体" w:cs="宋体"/>
          <w:color w:val="000000"/>
          <w:kern w:val="0"/>
          <w:sz w:val="28"/>
          <w:szCs w:val="28"/>
          <w:shd w:val="clear" w:color="auto" w:fill="FFFFFF"/>
        </w:rPr>
        <w:t>腾龙芳烃（漳州）有限公司</w:t>
      </w:r>
      <w:r>
        <w:rPr>
          <w:color w:val="000000"/>
          <w:kern w:val="0"/>
          <w:sz w:val="28"/>
          <w:szCs w:val="28"/>
          <w:shd w:val="clear" w:color="auto" w:fill="FFFFFF"/>
        </w:rPr>
        <w:t> </w:t>
      </w:r>
    </w:p>
    <w:p>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lang w:eastAsia="zh-CN"/>
        </w:rPr>
        <w:t>2023</w:t>
      </w:r>
      <w:r>
        <w:rPr>
          <w:rFonts w:hint="eastAsia" w:asciiTheme="minorEastAsia" w:hAnsiTheme="minorEastAsia" w:eastAsiaTheme="minorEastAsia" w:cstheme="minorEastAsia"/>
          <w:color w:val="000000"/>
          <w:kern w:val="0"/>
          <w:sz w:val="28"/>
          <w:szCs w:val="28"/>
          <w:shd w:val="clear" w:color="auto" w:fill="FFFFFF"/>
        </w:rPr>
        <w:t>年11月2</w:t>
      </w:r>
      <w:r>
        <w:rPr>
          <w:rFonts w:hint="eastAsia" w:asciiTheme="minorEastAsia" w:hAnsiTheme="minorEastAsia" w:eastAsiaTheme="minorEastAsia" w:cstheme="minorEastAsia"/>
          <w:color w:val="000000"/>
          <w:kern w:val="0"/>
          <w:sz w:val="28"/>
          <w:szCs w:val="28"/>
          <w:shd w:val="clear" w:color="auto" w:fill="FFFFFF"/>
          <w:lang w:val="en-US" w:eastAsia="zh-CN"/>
        </w:rPr>
        <w:t>1</w:t>
      </w:r>
      <w:r>
        <w:rPr>
          <w:rFonts w:hint="eastAsia" w:ascii="宋体" w:hAnsi="宋体" w:cs="宋体"/>
          <w:color w:val="000000"/>
          <w:kern w:val="0"/>
          <w:sz w:val="28"/>
          <w:szCs w:val="28"/>
          <w:shd w:val="clear" w:color="auto" w:fill="FFFFFF"/>
        </w:rPr>
        <w:t>日</w:t>
      </w:r>
    </w:p>
    <w:p>
      <w:pPr>
        <w:widowControl/>
        <w:shd w:val="clear" w:color="auto" w:fill="FFFFFF"/>
        <w:rPr>
          <w:color w:val="000000"/>
          <w:szCs w:val="21"/>
        </w:rPr>
      </w:pPr>
      <w:r>
        <w:rPr>
          <w:color w:val="000000"/>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spacing w:line="400" w:lineRule="exact"/>
        <w:rPr>
          <w:rFonts w:ascii="宋体"/>
          <w:b/>
          <w:bCs/>
          <w:sz w:val="36"/>
        </w:rPr>
      </w:pPr>
    </w:p>
    <w:p>
      <w:pPr>
        <w:spacing w:line="400" w:lineRule="exact"/>
        <w:jc w:val="center"/>
        <w:rPr>
          <w:rFonts w:ascii="宋体"/>
          <w:b/>
          <w:bCs/>
          <w:sz w:val="36"/>
        </w:rPr>
      </w:pPr>
      <w:r>
        <w:rPr>
          <w:rFonts w:hint="eastAsia" w:ascii="宋体" w:hAnsi="宋体"/>
          <w:b/>
          <w:bCs/>
          <w:sz w:val="36"/>
        </w:rPr>
        <w:t>一、比选公告</w:t>
      </w:r>
    </w:p>
    <w:p>
      <w:pPr>
        <w:pStyle w:val="3"/>
        <w:rPr>
          <w:b/>
          <w:sz w:val="28"/>
        </w:rPr>
      </w:pPr>
    </w:p>
    <w:p>
      <w:pPr>
        <w:jc w:val="center"/>
        <w:rPr>
          <w:b/>
          <w:bCs/>
          <w:sz w:val="32"/>
        </w:rPr>
      </w:pPr>
      <w:r>
        <w:rPr>
          <w:rFonts w:hint="eastAsia"/>
          <w:b/>
          <w:bCs/>
          <w:sz w:val="32"/>
        </w:rPr>
        <w:t>腾龙芳烃（漳州）有限公司</w:t>
      </w:r>
    </w:p>
    <w:p>
      <w:pPr>
        <w:jc w:val="center"/>
        <w:rPr>
          <w:b/>
          <w:bCs/>
          <w:sz w:val="32"/>
        </w:rPr>
      </w:pPr>
      <w:r>
        <w:rPr>
          <w:rFonts w:hint="eastAsia"/>
          <w:b/>
          <w:bCs/>
          <w:sz w:val="32"/>
        </w:rPr>
        <w:t>液氨（槽车）</w:t>
      </w:r>
      <w:r>
        <w:rPr>
          <w:b/>
          <w:bCs/>
          <w:sz w:val="32"/>
        </w:rPr>
        <w:t>采购</w:t>
      </w:r>
      <w:r>
        <w:rPr>
          <w:rFonts w:hint="eastAsia"/>
          <w:b/>
          <w:bCs/>
          <w:sz w:val="32"/>
        </w:rPr>
        <w:t>比选公告</w:t>
      </w:r>
    </w:p>
    <w:p>
      <w:pPr>
        <w:spacing w:line="360" w:lineRule="auto"/>
        <w:rPr>
          <w:bCs/>
          <w:szCs w:val="21"/>
        </w:rPr>
      </w:pPr>
    </w:p>
    <w:p>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腾龙芳烃（漳州）有限公司就</w:t>
      </w:r>
      <w:r>
        <w:rPr>
          <w:rFonts w:hint="eastAsia" w:asciiTheme="minorEastAsia" w:hAnsiTheme="minorEastAsia" w:eastAsiaTheme="minorEastAsia"/>
          <w:bCs/>
          <w:sz w:val="24"/>
          <w:u w:val="single"/>
        </w:rPr>
        <w:t>“液氨（槽车）（项目编号：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-液氨（槽车）-112</w:t>
      </w:r>
      <w:r>
        <w:rPr>
          <w:rFonts w:hint="eastAsia" w:asciiTheme="minorEastAsia" w:hAnsiTheme="minorEastAsia" w:eastAsiaTheme="minorEastAsia"/>
          <w:bCs/>
          <w:sz w:val="24"/>
          <w:u w:val="single"/>
          <w:lang w:val="en-US" w:eastAsia="zh-CN"/>
        </w:rPr>
        <w:t>1</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rPr>
        <w:t>液氨（槽车）</w:t>
      </w:r>
    </w:p>
    <w:p>
      <w:pPr>
        <w:pStyle w:val="9"/>
        <w:numPr>
          <w:ilvl w:val="0"/>
          <w:numId w:val="2"/>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比选项目：液氨（槽车）采购数量、质量、货期等要求详见比选文件。</w:t>
      </w:r>
    </w:p>
    <w:p>
      <w:pPr>
        <w:pStyle w:val="9"/>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9"/>
        <w:numPr>
          <w:ilvl w:val="0"/>
          <w:numId w:val="3"/>
        </w:numPr>
        <w:spacing w:before="100" w:beforeAutospacing="1" w:after="100" w:afterAutospacing="1" w:line="36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9"/>
        <w:numPr>
          <w:ilvl w:val="0"/>
          <w:numId w:val="3"/>
        </w:numPr>
        <w:spacing w:before="100" w:beforeAutospacing="1" w:after="100" w:afterAutospacing="1"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具备经营资质（具有</w:t>
      </w:r>
      <w:r>
        <w:rPr>
          <w:rFonts w:hint="eastAsia" w:asciiTheme="minorEastAsia" w:hAnsiTheme="minorEastAsia" w:eastAsiaTheme="minorEastAsia"/>
          <w:bCs/>
          <w:sz w:val="24"/>
          <w:lang w:val="en-US" w:eastAsia="zh-CN"/>
        </w:rPr>
        <w:t>液氨</w:t>
      </w:r>
      <w:r>
        <w:rPr>
          <w:rFonts w:hint="eastAsia" w:asciiTheme="minorEastAsia" w:hAnsiTheme="minorEastAsia" w:eastAsiaTheme="minorEastAsia"/>
          <w:bCs/>
          <w:sz w:val="24"/>
        </w:rPr>
        <w:t>生产许可证或危化品经营许可证）</w:t>
      </w:r>
    </w:p>
    <w:p>
      <w:pPr>
        <w:pStyle w:val="9"/>
        <w:numPr>
          <w:ilvl w:val="0"/>
          <w:numId w:val="3"/>
        </w:numPr>
        <w:spacing w:before="100" w:beforeAutospacing="1" w:after="100" w:afterAutospacing="1"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具备经营业绩</w:t>
      </w:r>
    </w:p>
    <w:p>
      <w:pPr>
        <w:pStyle w:val="9"/>
        <w:numPr>
          <w:ilvl w:val="0"/>
          <w:numId w:val="3"/>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2</w:t>
      </w:r>
      <w:r>
        <w:rPr>
          <w:rFonts w:hint="eastAsia" w:asciiTheme="minorEastAsia" w:hAnsiTheme="minorEastAsia" w:eastAsiaTheme="minorEastAsia"/>
          <w:bCs/>
          <w:sz w:val="24"/>
        </w:rPr>
        <w:t>5000元（</w:t>
      </w:r>
      <w:r>
        <w:rPr>
          <w:rFonts w:hint="eastAsia" w:asciiTheme="minorEastAsia" w:hAnsiTheme="minorEastAsia" w:eastAsiaTheme="minorEastAsia"/>
          <w:bCs/>
          <w:sz w:val="24"/>
          <w:lang w:eastAsia="zh-CN"/>
        </w:rPr>
        <w:t>贰万</w:t>
      </w:r>
      <w:r>
        <w:rPr>
          <w:rFonts w:hint="eastAsia" w:asciiTheme="minorEastAsia" w:hAnsiTheme="minorEastAsia" w:eastAsiaTheme="minorEastAsia"/>
          <w:bCs/>
          <w:sz w:val="24"/>
        </w:rPr>
        <w:t>伍仟圆整）。</w:t>
      </w:r>
    </w:p>
    <w:p>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9"/>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报名时间：自公告日起</w:t>
      </w:r>
      <w:r>
        <w:rPr>
          <w:rFonts w:hint="eastAsia" w:asciiTheme="majorEastAsia" w:hAnsiTheme="majorEastAsia" w:eastAsiaTheme="majorEastAsia"/>
          <w:sz w:val="24"/>
        </w:rPr>
        <w:t>至</w:t>
      </w:r>
      <w:r>
        <w:rPr>
          <w:rFonts w:hint="eastAsia" w:asciiTheme="majorEastAsia" w:hAnsiTheme="majorEastAsia" w:eastAsiaTheme="majorEastAsia"/>
          <w:sz w:val="24"/>
          <w:lang w:eastAsia="zh-CN"/>
        </w:rPr>
        <w:t>2023</w:t>
      </w:r>
      <w:r>
        <w:rPr>
          <w:rFonts w:hint="eastAsia" w:asciiTheme="majorEastAsia" w:hAnsiTheme="majorEastAsia" w:eastAsiaTheme="majorEastAsia"/>
          <w:sz w:val="24"/>
        </w:rPr>
        <w:t>年12月</w:t>
      </w:r>
      <w:r>
        <w:rPr>
          <w:rFonts w:hint="eastAsia" w:asciiTheme="majorEastAsia" w:hAnsiTheme="majorEastAsia" w:eastAsiaTheme="majorEastAsia"/>
          <w:sz w:val="24"/>
          <w:lang w:val="en-US" w:eastAsia="zh-CN"/>
        </w:rPr>
        <w:t>8</w:t>
      </w:r>
      <w:r>
        <w:rPr>
          <w:rFonts w:hint="eastAsia" w:asciiTheme="majorEastAsia" w:hAnsiTheme="majorEastAsia" w:eastAsiaTheme="majorEastAsia"/>
          <w:sz w:val="24"/>
        </w:rPr>
        <w:t>日（含当日）</w:t>
      </w:r>
    </w:p>
    <w:p>
      <w:pPr>
        <w:pStyle w:val="9"/>
        <w:numPr>
          <w:ilvl w:val="255"/>
          <w:numId w:val="0"/>
        </w:numPr>
        <w:spacing w:before="0" w:line="360"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w:t>
      </w:r>
      <w:r>
        <w:rPr>
          <w:rFonts w:hint="eastAsia" w:asciiTheme="minorEastAsia" w:hAnsiTheme="minorEastAsia" w:eastAsiaTheme="minorEastAsia"/>
          <w:bCs/>
          <w:sz w:val="24"/>
          <w:lang w:val="en-US" w:eastAsia="zh-CN"/>
        </w:rPr>
        <w:t>液氨</w:t>
      </w:r>
      <w:r>
        <w:rPr>
          <w:rFonts w:hint="eastAsia" w:asciiTheme="minorEastAsia" w:hAnsiTheme="minorEastAsia" w:eastAsiaTheme="minorEastAsia"/>
          <w:bCs/>
          <w:sz w:val="24"/>
        </w:rPr>
        <w:t>生产许可证或危化品经营许可证等证件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（3）至少一份液氨（槽车）业绩材料</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（4）保证金汇款银行水单：参选单位需缴纳参选保证金：</w:t>
      </w:r>
      <w:r>
        <w:rPr>
          <w:rFonts w:hint="eastAsia" w:asciiTheme="minorEastAsia" w:hAnsiTheme="minorEastAsia" w:eastAsiaTheme="minorEastAsia"/>
          <w:bCs/>
          <w:sz w:val="24"/>
          <w:lang w:eastAsia="zh-CN"/>
        </w:rPr>
        <w:t>25000</w:t>
      </w:r>
      <w:r>
        <w:rPr>
          <w:rFonts w:hint="eastAsia" w:asciiTheme="minorEastAsia" w:hAnsiTheme="minorEastAsia" w:eastAsiaTheme="minorEastAsia"/>
          <w:bCs/>
          <w:sz w:val="24"/>
        </w:rPr>
        <w:t>元（</w:t>
      </w:r>
      <w:r>
        <w:rPr>
          <w:rFonts w:hint="eastAsia" w:asciiTheme="minorEastAsia" w:hAnsiTheme="minorEastAsia" w:eastAsiaTheme="minorEastAsia"/>
          <w:bCs/>
          <w:sz w:val="24"/>
          <w:lang w:eastAsia="zh-CN"/>
        </w:rPr>
        <w:t>贰万</w:t>
      </w:r>
      <w:r>
        <w:rPr>
          <w:rFonts w:hint="eastAsia" w:asciiTheme="minorEastAsia" w:hAnsiTheme="minorEastAsia" w:eastAsiaTheme="minorEastAsia"/>
          <w:bCs/>
          <w:sz w:val="24"/>
        </w:rPr>
        <w:t>伍仟圆整），如中选、该保证金转为履约保证金，如不中选，在比选结束后请联系商务联系人办理无息等额退款。</w:t>
      </w:r>
    </w:p>
    <w:p>
      <w:pPr>
        <w:spacing w:line="288"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 xml:space="preserve">汇款资料：  </w:t>
      </w:r>
      <w:r>
        <w:rPr>
          <w:rFonts w:hint="eastAsia" w:asciiTheme="minorEastAsia" w:hAnsiTheme="minorEastAsia" w:eastAsiaTheme="minorEastAsia"/>
          <w:bCs/>
          <w:color w:val="000000" w:themeColor="text1"/>
          <w:sz w:val="24"/>
          <w14:textFill>
            <w14:solidFill>
              <w14:schemeClr w14:val="tx1"/>
            </w14:solidFill>
          </w14:textFill>
        </w:rPr>
        <w:t>收款人：福建福海创石油化工有限公司</w:t>
      </w:r>
    </w:p>
    <w:p>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开户银行：中国银行漳州古雷经济开发区支行</w:t>
      </w:r>
    </w:p>
    <w:p>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账    号：406574816628</w:t>
      </w:r>
    </w:p>
    <w:p>
      <w:pPr>
        <w:pStyle w:val="9"/>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ind w:firstLine="472" w:firstLineChars="196"/>
        <w:rPr>
          <w:rFonts w:asciiTheme="minorEastAsia" w:hAnsiTheme="minorEastAsia" w:eastAsiaTheme="minorEastAsia"/>
          <w:b/>
          <w:bCs/>
          <w:sz w:val="24"/>
        </w:rPr>
      </w:pPr>
      <w:r>
        <w:rPr>
          <w:rFonts w:hint="eastAsia"/>
          <w:b/>
          <w:bCs/>
          <w:sz w:val="24"/>
        </w:rPr>
        <w:t>四、参选文件递交要求</w:t>
      </w:r>
    </w:p>
    <w:p>
      <w:pPr>
        <w:pStyle w:val="9"/>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color w:val="000000" w:themeColor="text1"/>
          <w:sz w:val="24"/>
          <w14:textFill>
            <w14:solidFill>
              <w14:schemeClr w14:val="tx1"/>
            </w14:solidFill>
          </w14:textFill>
        </w:rPr>
        <w:t>福建福海创石油化工有限公司（地址：漳州市漳浦县杜浔镇杜昌路9号福海创办公大楼2楼）。</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lang w:val="en-US" w:eastAsia="zh-CN"/>
        </w:rPr>
        <w:t>2023年12月10日</w:t>
      </w:r>
    </w:p>
    <w:p>
      <w:pPr>
        <w:pStyle w:val="9"/>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9"/>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郑萍</w:t>
      </w:r>
      <w:r>
        <w:rPr>
          <w:rFonts w:hint="eastAsia" w:cs="宋体" w:asciiTheme="minorEastAsia" w:hAnsiTheme="minorEastAsia"/>
          <w:bCs/>
          <w:sz w:val="24"/>
        </w:rPr>
        <w:t xml:space="preserve">  电话：1</w:t>
      </w:r>
      <w:r>
        <w:rPr>
          <w:rFonts w:hint="eastAsia" w:cs="宋体" w:asciiTheme="minorEastAsia" w:hAnsiTheme="minorEastAsia"/>
          <w:bCs/>
          <w:sz w:val="24"/>
          <w:lang w:val="en-US" w:eastAsia="zh-CN"/>
        </w:rPr>
        <w:t>3015727080</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0"/>
          <w:rFonts w:hint="eastAsia" w:ascii="Times New Roman" w:hAnsi="Times New Roman" w:eastAsia="宋体" w:cs="Times New Roman"/>
          <w:color w:val="111111"/>
        </w:rPr>
        <w:t>@fjpec.com.cn</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技术联系人：陈平金 电话：19959614083  邮箱：pjchen</w:t>
      </w:r>
      <w:r>
        <w:rPr>
          <w:rFonts w:ascii="Arial" w:hAnsi="Arial" w:eastAsia="宋体" w:cs="Arial"/>
          <w:color w:val="111111"/>
          <w:sz w:val="18"/>
          <w:szCs w:val="18"/>
        </w:rPr>
        <w:t>@fhcpec.com.cn</w:t>
      </w:r>
    </w:p>
    <w:p>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t>fhcjc@fhcpec.com.cn</w:t>
      </w:r>
    </w:p>
    <w:p>
      <w:pPr>
        <w:pStyle w:val="2"/>
        <w:snapToGrid w:val="0"/>
        <w:spacing w:before="100" w:beforeAutospacing="1" w:after="100" w:afterAutospacing="1" w:line="360"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color w:val="000000" w:themeColor="text1"/>
          <w:sz w:val="24"/>
          <w14:textFill>
            <w14:solidFill>
              <w14:schemeClr w14:val="tx1"/>
            </w14:solidFill>
          </w14:textFill>
        </w:rPr>
        <w:t>漳州市漳浦县杜浔镇杜昌路9号福海创办公大楼2楼</w:t>
      </w:r>
    </w:p>
    <w:p>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ascii="Arial" w:hAnsi="Arial" w:eastAsia="宋体" w:cs="Arial"/>
          <w:color w:val="333333"/>
          <w:sz w:val="24"/>
          <w:shd w:val="clear" w:color="auto" w:fill="FFFFFF"/>
        </w:rPr>
        <w:t>361001</w:t>
      </w:r>
    </w:p>
    <w:p>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腾龙芳烃（漳州）有限公司 </w:t>
      </w:r>
    </w:p>
    <w:p>
      <w:pPr>
        <w:spacing w:before="100" w:beforeAutospacing="1" w:after="100" w:afterAutospacing="1" w:line="4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2023</w:t>
      </w:r>
      <w:r>
        <w:rPr>
          <w:rFonts w:hint="eastAsia" w:asciiTheme="minorEastAsia" w:hAnsiTheme="minorEastAsia" w:eastAsiaTheme="minorEastAsia"/>
          <w:sz w:val="24"/>
        </w:rPr>
        <w:t>年1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月2</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日</w:t>
      </w:r>
    </w:p>
    <w:p>
      <w:pPr>
        <w:spacing w:before="100" w:beforeAutospacing="1" w:after="100" w:afterAutospacing="1" w:line="420" w:lineRule="exact"/>
        <w:ind w:firstLine="723" w:firstLineChars="200"/>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w:t>
      </w:r>
      <w:r>
        <w:rPr>
          <w:rFonts w:hint="eastAsia" w:ascii="宋体" w:hAnsi="宋体"/>
          <w:sz w:val="18"/>
          <w:szCs w:val="18"/>
          <w:lang w:val="en-US" w:eastAsia="zh-CN"/>
        </w:rPr>
        <w:t>公开</w:t>
      </w:r>
      <w:r>
        <w:rPr>
          <w:rFonts w:hint="eastAsia" w:ascii="宋体" w:hAnsi="宋体"/>
          <w:sz w:val="18"/>
          <w:szCs w:val="18"/>
        </w:rPr>
        <w:t>比选涉及产品为：</w:t>
      </w:r>
      <w:r>
        <w:rPr>
          <w:rFonts w:hint="eastAsia" w:ascii="宋体" w:hAnsi="宋体"/>
          <w:sz w:val="18"/>
          <w:szCs w:val="18"/>
          <w:u w:val="single"/>
        </w:rPr>
        <w:t>液氨（槽车）。</w:t>
      </w:r>
    </w:p>
    <w:p>
      <w:pPr>
        <w:pStyle w:val="12"/>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pPr>
        <w:spacing w:line="320" w:lineRule="exact"/>
        <w:rPr>
          <w:rFonts w:hint="eastAsia" w:ascii="宋体" w:eastAsia="宋体"/>
          <w:sz w:val="18"/>
          <w:szCs w:val="18"/>
          <w:lang w:eastAsia="zh-CN"/>
        </w:rPr>
      </w:pPr>
      <w:r>
        <w:rPr>
          <w:rFonts w:hint="eastAsia" w:ascii="宋体"/>
          <w:sz w:val="18"/>
          <w:szCs w:val="18"/>
        </w:rPr>
        <w:t>（5）具备经营资质（具有</w:t>
      </w:r>
      <w:r>
        <w:rPr>
          <w:rFonts w:hint="eastAsia" w:ascii="宋体"/>
          <w:sz w:val="18"/>
          <w:szCs w:val="18"/>
          <w:lang w:val="en-US" w:eastAsia="zh-CN"/>
        </w:rPr>
        <w:t>液氨</w:t>
      </w:r>
      <w:bookmarkStart w:id="2" w:name="_GoBack"/>
      <w:bookmarkEnd w:id="2"/>
      <w:r>
        <w:rPr>
          <w:rFonts w:hint="eastAsia" w:ascii="宋体"/>
          <w:sz w:val="18"/>
          <w:szCs w:val="18"/>
        </w:rPr>
        <w:t>生产许可证或危化品经营许可证）</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（6）具备经营业绩</w:t>
      </w:r>
      <w:r>
        <w:rPr>
          <w:rFonts w:hint="eastAsia" w:ascii="宋体"/>
          <w:sz w:val="18"/>
          <w:szCs w:val="18"/>
          <w:lang w:eastAsia="zh-CN"/>
        </w:rPr>
        <w:t>；</w:t>
      </w:r>
      <w:r>
        <w:rPr>
          <w:rFonts w:hint="eastAsia" w:ascii="宋体"/>
          <w:sz w:val="18"/>
          <w:szCs w:val="18"/>
        </w:rPr>
        <w:t>（7）参选保证金：</w:t>
      </w:r>
      <w:r>
        <w:rPr>
          <w:rFonts w:hint="eastAsia" w:ascii="宋体"/>
          <w:sz w:val="18"/>
          <w:szCs w:val="18"/>
          <w:lang w:eastAsia="zh-CN"/>
        </w:rPr>
        <w:t>25000</w:t>
      </w:r>
      <w:r>
        <w:rPr>
          <w:rFonts w:hint="eastAsia" w:ascii="宋体"/>
          <w:sz w:val="18"/>
          <w:szCs w:val="18"/>
        </w:rPr>
        <w:t>元（</w:t>
      </w:r>
      <w:r>
        <w:rPr>
          <w:rFonts w:hint="eastAsia" w:ascii="宋体"/>
          <w:sz w:val="18"/>
          <w:szCs w:val="18"/>
          <w:lang w:eastAsia="zh-CN"/>
        </w:rPr>
        <w:t>贰万</w:t>
      </w:r>
      <w:r>
        <w:rPr>
          <w:rFonts w:hint="eastAsia" w:ascii="宋体"/>
          <w:sz w:val="18"/>
          <w:szCs w:val="18"/>
        </w:rPr>
        <w:t>伍仟圆整）。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（6）报价单（7）附件1《液氨（槽车）质量规范》</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液氨（槽车）的</w:t>
      </w:r>
      <w:r>
        <w:rPr>
          <w:rFonts w:hint="eastAsia" w:ascii="宋体" w:hAnsi="宋体"/>
          <w:sz w:val="18"/>
          <w:szCs w:val="18"/>
        </w:rPr>
        <w:t>采购价格公式，最低价中选。比选会议确定价格公式之后：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在供货期内，需严格执行价格约定。如果价格出现波动，在双方均同意的情况下，重新发起新一轮公开比选。如果参选人未能按承诺的价格供货，则公开比选有权处于暂停其下一次参选资格。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在供货期内，数量按以下规定执行：以需方订单需求为准。</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公式供货的报价人立即或会后邮件扫描或传真《公开比选确认单》至我司，由采购部成员办理随后的订单送审手续。比选数量为总数量，以需方实际需求为准。</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ascii="宋体" w:hAnsi="宋体" w:cs="宋体"/>
          <w:b/>
          <w:color w:val="000000"/>
          <w:kern w:val="0"/>
          <w:sz w:val="24"/>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若报价偏离市场行情，腾龙芳烃（漳州）有限公司有权选择废选。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hint="eastAsia" w:ascii="宋体" w:eastAsiaTheme="minorEastAsia"/>
          <w:b/>
          <w:bCs/>
          <w:sz w:val="24"/>
          <w:lang w:eastAsia="zh-CN"/>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-液氨（槽车）-112</w:t>
      </w:r>
      <w:r>
        <w:rPr>
          <w:rFonts w:hint="eastAsia" w:asciiTheme="minorEastAsia" w:hAnsiTheme="minorEastAsia" w:eastAsiaTheme="minorEastAsia"/>
          <w:bCs/>
          <w:sz w:val="24"/>
          <w:u w:val="single"/>
          <w:lang w:val="en-US" w:eastAsia="zh-CN"/>
        </w:rPr>
        <w:t>1</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我公司计划采购液氨（槽车），具体要求如下：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液氨（槽车）采购数量：1200吨（数量为年预估量，以实际发生量为准）。</w:t>
      </w:r>
    </w:p>
    <w:p>
      <w:pPr>
        <w:spacing w:line="360" w:lineRule="exact"/>
        <w:jc w:val="left"/>
        <w:rPr>
          <w:rFonts w:ascii="宋体" w:hAnsi="宋体" w:cs="宋体"/>
          <w:sz w:val="24"/>
        </w:rPr>
      </w:pPr>
      <w:r>
        <w:rPr>
          <w:rFonts w:hint="eastAsia" w:ascii="宋体" w:hAnsi="宋体" w:cs="宋体"/>
          <w:sz w:val="24"/>
        </w:rPr>
        <w:t>2.技术参数指标详见附件1：《液氨（槽车）质量规范》。</w:t>
      </w:r>
    </w:p>
    <w:p>
      <w:pPr>
        <w:spacing w:line="360" w:lineRule="exact"/>
        <w:jc w:val="left"/>
        <w:rPr>
          <w:rFonts w:hint="eastAsia" w:ascii="宋体" w:eastAsia="宋体" w:cs="宋体"/>
          <w:sz w:val="24"/>
          <w:lang w:val="en-US" w:eastAsia="zh-CN"/>
        </w:rPr>
      </w:pPr>
      <w:r>
        <w:rPr>
          <w:rFonts w:hint="eastAsia" w:ascii="宋体" w:hAnsi="宋体" w:cs="宋体"/>
          <w:sz w:val="24"/>
        </w:rPr>
        <w:t>3.</w:t>
      </w:r>
      <w:r>
        <w:rPr>
          <w:rFonts w:hint="eastAsia" w:ascii="宋体" w:hAnsi="宋体"/>
          <w:sz w:val="24"/>
        </w:rPr>
        <w:t>到货时间：202</w:t>
      </w:r>
      <w:r>
        <w:rPr>
          <w:rFonts w:hint="eastAsia" w:ascii="宋体" w:hAnsi="宋体"/>
          <w:sz w:val="24"/>
          <w:lang w:val="en-US" w:eastAsia="zh-CN"/>
        </w:rPr>
        <w:t>4</w:t>
      </w:r>
      <w:r>
        <w:rPr>
          <w:rFonts w:hint="eastAsia" w:ascii="宋体" w:hAnsi="宋体"/>
          <w:sz w:val="24"/>
        </w:rPr>
        <w:t>年1月1日起，每月均衡到货，具体以需方通知为准</w:t>
      </w:r>
      <w:r>
        <w:rPr>
          <w:rFonts w:hint="eastAsia" w:ascii="宋体" w:hAnsi="宋体"/>
          <w:sz w:val="24"/>
          <w:lang w:eastAsia="zh-CN"/>
        </w:rPr>
        <w:t>。</w:t>
      </w:r>
    </w:p>
    <w:p>
      <w:pPr>
        <w:spacing w:line="350" w:lineRule="exact"/>
        <w:jc w:val="left"/>
        <w:rPr>
          <w:rFonts w:ascii="宋体" w:hAnsi="宋体" w:cs="宋体"/>
          <w:sz w:val="24"/>
        </w:rPr>
      </w:pPr>
      <w:r>
        <w:rPr>
          <w:rFonts w:hint="eastAsia" w:asciiTheme="minorEastAsia" w:hAnsiTheme="minorEastAsia" w:eastAsiaTheme="minorEastAsia"/>
          <w:bCs/>
          <w:kern w:val="0"/>
          <w:sz w:val="24"/>
        </w:rPr>
        <w:t>4.报价须知：当月液氨（槽车）</w:t>
      </w:r>
      <w:r>
        <w:rPr>
          <w:rFonts w:hint="eastAsia" w:ascii="宋体" w:hAnsi="宋体" w:cs="宋体"/>
          <w:sz w:val="24"/>
        </w:rPr>
        <w:t>含税送到价=上个月卓创资讯网福建地区合成氨市场价格月均价+C。</w:t>
      </w:r>
    </w:p>
    <w:p>
      <w:pPr>
        <w:spacing w:line="350" w:lineRule="exact"/>
        <w:jc w:val="left"/>
        <w:rPr>
          <w:rFonts w:hint="eastAsia" w:ascii="宋体" w:hAnsi="宋体" w:cs="宋体"/>
          <w:sz w:val="24"/>
        </w:rPr>
      </w:pPr>
      <w:r>
        <w:rPr>
          <w:rFonts w:hint="eastAsia" w:asciiTheme="minorEastAsia" w:hAnsiTheme="minorEastAsia" w:eastAsiaTheme="minorEastAsia"/>
          <w:bCs/>
          <w:kern w:val="0"/>
          <w:sz w:val="24"/>
        </w:rPr>
        <w:t>月均价计价周期：上个月第壹个计价日至上个月最后壹个计价日计算，逢节假日及周末以网站公布为准</w:t>
      </w:r>
      <w:r>
        <w:rPr>
          <w:rFonts w:hint="eastAsia" w:asciiTheme="minorEastAsia" w:hAnsiTheme="minorEastAsia" w:eastAsiaTheme="minorEastAsia"/>
          <w:bCs/>
          <w:kern w:val="0"/>
          <w:sz w:val="24"/>
          <w:lang w:eastAsia="zh-CN"/>
        </w:rPr>
        <w:t>。</w:t>
      </w:r>
      <w:r>
        <w:rPr>
          <w:rFonts w:hint="eastAsia" w:ascii="宋体" w:hAnsi="宋体" w:cs="宋体"/>
          <w:sz w:val="24"/>
        </w:rPr>
        <w:t>注：C为包含物流、账期等综合费用，仅对C值报价，最低价中选。参选人需对全部比选数量进行报价。具体查询：卓创资讯→农资→化肥网→合成氨/液氨→合成氨价格查询→华东地区→福建市场。</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运输条款：具备运输资质槽车，</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7.1参选文件递交截止时间：见比选公告。</w:t>
      </w:r>
    </w:p>
    <w:p>
      <w:pPr>
        <w:spacing w:line="360" w:lineRule="exact"/>
        <w:jc w:val="left"/>
        <w:rPr>
          <w:rFonts w:ascii="宋体" w:hAnsi="宋体" w:cs="宋体"/>
          <w:sz w:val="24"/>
        </w:rPr>
      </w:pPr>
      <w:r>
        <w:rPr>
          <w:rFonts w:hint="eastAsia" w:ascii="宋体" w:hAnsi="宋体" w:cs="宋体"/>
          <w:sz w:val="24"/>
        </w:rPr>
        <w:t>7.2参选文件应密封，包含比选公告、参选规定及说明、公开比选文件、参选书、法定代表人授权书、报价单、附件1《液氨（槽车）质量规范》，上述七项文件一式两份并逐页盖公章。密封处盖章。</w:t>
      </w:r>
    </w:p>
    <w:p>
      <w:pPr>
        <w:spacing w:line="360" w:lineRule="exact"/>
        <w:jc w:val="left"/>
        <w:rPr>
          <w:rFonts w:hint="eastAsia" w:asciiTheme="minorEastAsia" w:hAnsiTheme="minorEastAsia" w:eastAsiaTheme="minorEastAsia"/>
          <w:bCs/>
          <w:color w:val="000000" w:themeColor="text1"/>
          <w:sz w:val="24"/>
          <w14:textFill>
            <w14:solidFill>
              <w14:schemeClr w14:val="tx1"/>
            </w14:solidFill>
          </w14:textFill>
        </w:rPr>
      </w:pPr>
      <w:r>
        <w:rPr>
          <w:rFonts w:hint="eastAsia" w:ascii="宋体" w:hAnsi="宋体" w:cs="宋体"/>
          <w:sz w:val="24"/>
        </w:rPr>
        <w:t>7.3我公司快递联系方式：公司名称：</w:t>
      </w:r>
      <w:r>
        <w:rPr>
          <w:rFonts w:hint="eastAsia" w:asciiTheme="minorEastAsia" w:hAnsiTheme="minorEastAsia" w:eastAsiaTheme="minorEastAsia"/>
          <w:bCs/>
          <w:color w:val="000000" w:themeColor="text1"/>
          <w:sz w:val="24"/>
          <w14:textFill>
            <w14:solidFill>
              <w14:schemeClr w14:val="tx1"/>
            </w14:solidFill>
          </w14:textFill>
        </w:rPr>
        <w:t>福建福海创石油化工有限公司</w:t>
      </w:r>
    </w:p>
    <w:p>
      <w:pPr>
        <w:spacing w:line="360" w:lineRule="exact"/>
        <w:jc w:val="left"/>
        <w:rPr>
          <w:rFonts w:ascii="宋体" w:hAnsi="宋体" w:cs="宋体"/>
          <w:sz w:val="24"/>
        </w:rPr>
      </w:pPr>
      <w:r>
        <w:rPr>
          <w:rFonts w:hint="eastAsia" w:ascii="宋体" w:hAnsi="宋体" w:cs="宋体"/>
          <w:sz w:val="24"/>
        </w:rPr>
        <w:t>地址：</w:t>
      </w:r>
      <w:r>
        <w:rPr>
          <w:rFonts w:hint="eastAsia" w:ascii="宋体" w:hAnsi="宋体" w:cs="宋体"/>
          <w:color w:val="000000" w:themeColor="text1"/>
          <w:sz w:val="24"/>
          <w14:textFill>
            <w14:solidFill>
              <w14:schemeClr w14:val="tx1"/>
            </w14:solidFill>
          </w14:textFill>
        </w:rPr>
        <w:t>福建省漳州市漳浦县杜浔镇杜昌路9号福海创办公大楼2楼</w:t>
      </w:r>
    </w:p>
    <w:p>
      <w:pPr>
        <w:spacing w:line="360" w:lineRule="exact"/>
        <w:jc w:val="left"/>
        <w:rPr>
          <w:rFonts w:ascii="宋体" w:hAnsi="宋体" w:cs="宋体"/>
          <w:sz w:val="24"/>
        </w:rPr>
      </w:pPr>
    </w:p>
    <w:p>
      <w:pPr>
        <w:spacing w:line="360" w:lineRule="exact"/>
        <w:jc w:val="left"/>
        <w:rPr>
          <w:rFonts w:hint="default" w:ascii="宋体" w:eastAsia="宋体"/>
          <w:sz w:val="24"/>
          <w:u w:val="single"/>
          <w:lang w:val="en-US" w:eastAsia="zh-CN"/>
        </w:rPr>
      </w:pPr>
      <w:r>
        <w:rPr>
          <w:rFonts w:hint="eastAsia" w:ascii="宋体" w:hAnsi="宋体" w:cs="宋体"/>
          <w:sz w:val="24"/>
        </w:rPr>
        <w:t>联系人：</w:t>
      </w:r>
      <w:r>
        <w:rPr>
          <w:rFonts w:hint="eastAsia" w:ascii="宋体" w:hAnsi="宋体" w:cs="宋体"/>
          <w:sz w:val="24"/>
          <w:lang w:val="en-US" w:eastAsia="zh-CN"/>
        </w:rPr>
        <w:t>郑萍</w:t>
      </w:r>
      <w:r>
        <w:rPr>
          <w:rFonts w:hint="eastAsia" w:ascii="宋体" w:hAnsi="宋体" w:cs="宋体"/>
          <w:sz w:val="24"/>
        </w:rPr>
        <w:t xml:space="preserve">  手机：1</w:t>
      </w:r>
      <w:r>
        <w:rPr>
          <w:rFonts w:hint="eastAsia" w:ascii="宋体" w:hAnsi="宋体" w:cs="宋体"/>
          <w:sz w:val="24"/>
          <w:lang w:val="en-US" w:eastAsia="zh-CN"/>
        </w:rPr>
        <w:t>3015727080</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-液氨（槽车）-112</w:t>
      </w:r>
      <w:r>
        <w:rPr>
          <w:rFonts w:hint="eastAsia" w:asciiTheme="minorEastAsia" w:hAnsiTheme="minorEastAsia" w:eastAsiaTheme="minorEastAsia"/>
          <w:bCs/>
          <w:sz w:val="24"/>
          <w:u w:val="single"/>
          <w:lang w:val="en-US" w:eastAsia="zh-CN"/>
        </w:rPr>
        <w:t>1</w:t>
      </w:r>
      <w:r>
        <w:rPr>
          <w:rFonts w:hint="eastAsia" w:ascii="宋体" w:hAnsi="宋体"/>
          <w:sz w:val="24"/>
        </w:rPr>
        <w:t>），被我方正式授权并代表我公司递交下述文件，并对此负责。</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cs="宋体"/>
          <w:sz w:val="24"/>
        </w:rPr>
        <w:t>比选公告</w:t>
      </w:r>
    </w:p>
    <w:p>
      <w:pPr>
        <w:spacing w:line="500" w:lineRule="exact"/>
        <w:ind w:firstLine="480" w:firstLineChars="200"/>
        <w:rPr>
          <w:rFonts w:ascii="宋体"/>
          <w:sz w:val="24"/>
        </w:rPr>
      </w:pPr>
      <w:r>
        <w:rPr>
          <w:rFonts w:hint="eastAsia" w:ascii="宋体" w:hAnsi="宋体"/>
          <w:sz w:val="24"/>
        </w:rPr>
        <w:t>（2）参选规定及说明</w:t>
      </w:r>
    </w:p>
    <w:p>
      <w:pPr>
        <w:spacing w:line="500" w:lineRule="exact"/>
        <w:ind w:firstLine="480" w:firstLineChars="200"/>
        <w:rPr>
          <w:rFonts w:ascii="宋体"/>
          <w:sz w:val="24"/>
        </w:rPr>
      </w:pPr>
      <w:r>
        <w:rPr>
          <w:rFonts w:hint="eastAsia" w:ascii="宋体" w:hAnsi="宋体"/>
          <w:sz w:val="24"/>
        </w:rPr>
        <w:t>（3）公开比选文件</w:t>
      </w:r>
    </w:p>
    <w:p>
      <w:pPr>
        <w:spacing w:line="500" w:lineRule="exact"/>
        <w:ind w:firstLine="480" w:firstLineChars="200"/>
        <w:rPr>
          <w:rFonts w:ascii="宋体"/>
          <w:sz w:val="24"/>
        </w:rPr>
      </w:pPr>
      <w:r>
        <w:rPr>
          <w:rFonts w:hint="eastAsia" w:ascii="宋体" w:hAnsi="宋体"/>
          <w:sz w:val="24"/>
        </w:rPr>
        <w:t>（4）参选书</w:t>
      </w:r>
    </w:p>
    <w:p>
      <w:pPr>
        <w:spacing w:line="500" w:lineRule="exact"/>
        <w:ind w:firstLine="480" w:firstLineChars="200"/>
        <w:rPr>
          <w:rFonts w:ascii="宋体"/>
          <w:sz w:val="24"/>
        </w:rPr>
      </w:pPr>
      <w:r>
        <w:rPr>
          <w:rFonts w:hint="eastAsia" w:ascii="宋体" w:hAnsi="宋体"/>
          <w:sz w:val="24"/>
        </w:rPr>
        <w:t>（5）法定代表人授权书</w:t>
      </w:r>
    </w:p>
    <w:p>
      <w:pPr>
        <w:spacing w:line="500" w:lineRule="exact"/>
        <w:ind w:firstLine="480" w:firstLineChars="200"/>
        <w:rPr>
          <w:rFonts w:ascii="宋体" w:hAnsi="宋体"/>
          <w:sz w:val="24"/>
        </w:rPr>
      </w:pPr>
      <w:r>
        <w:rPr>
          <w:rFonts w:hint="eastAsia" w:ascii="宋体" w:hAnsi="宋体"/>
          <w:sz w:val="24"/>
        </w:rPr>
        <w:t>（6）报价单</w:t>
      </w:r>
    </w:p>
    <w:p>
      <w:pPr>
        <w:spacing w:line="500" w:lineRule="exact"/>
        <w:ind w:firstLine="480" w:firstLineChars="200"/>
        <w:rPr>
          <w:rFonts w:ascii="宋体"/>
          <w:sz w:val="24"/>
        </w:rPr>
      </w:pPr>
      <w:r>
        <w:rPr>
          <w:rFonts w:hint="eastAsia" w:ascii="宋体" w:hAnsi="宋体"/>
          <w:sz w:val="24"/>
        </w:rPr>
        <w:t xml:space="preserve"> (7)附件1《液氨（槽车）质量规范》</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-液氨（槽车）-112</w:t>
      </w:r>
      <w:r>
        <w:rPr>
          <w:rFonts w:hint="eastAsia" w:asciiTheme="minorEastAsia" w:hAnsiTheme="minorEastAsia" w:eastAsiaTheme="minorEastAsia"/>
          <w:bCs/>
          <w:sz w:val="24"/>
          <w:u w:val="single"/>
          <w:lang w:val="en-US" w:eastAsia="zh-CN"/>
        </w:rPr>
        <w:t>1</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w:t>
      </w:r>
      <w:r>
        <w:rPr>
          <w:rFonts w:hint="eastAsia" w:ascii="宋体" w:hAnsi="宋体"/>
          <w:sz w:val="24"/>
          <w:u w:val="single"/>
        </w:rPr>
        <w:t xml:space="preserve">    年   月   日</w:t>
      </w:r>
      <w:r>
        <w:rPr>
          <w:rFonts w:hint="eastAsia" w:ascii="宋体" w:hAnsi="宋体"/>
          <w:sz w:val="24"/>
        </w:rPr>
        <w:t>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sz w:val="24"/>
        </w:rPr>
      </w:pPr>
      <w:r>
        <w:rPr>
          <w:rFonts w:hint="eastAsia" w:ascii="宋体" w:hAnsi="宋体"/>
          <w:sz w:val="24"/>
        </w:rPr>
        <w:t>致：腾龙芳烃（漳州）有限公司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-液氨（槽车）-112</w:t>
      </w:r>
      <w:r>
        <w:rPr>
          <w:rFonts w:hint="eastAsia" w:asciiTheme="minorEastAsia" w:hAnsiTheme="minorEastAsia" w:eastAsiaTheme="minorEastAsia"/>
          <w:bCs/>
          <w:sz w:val="24"/>
          <w:u w:val="single"/>
          <w:lang w:val="en-US" w:eastAsia="zh-CN"/>
        </w:rPr>
        <w:t>1</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我公司可按贵司要求供应液氨（槽车）：</w:t>
      </w:r>
    </w:p>
    <w:p>
      <w:pPr>
        <w:spacing w:line="500" w:lineRule="exact"/>
        <w:rPr>
          <w:rFonts w:ascii="宋体" w:hAnsi="宋体"/>
          <w:sz w:val="24"/>
          <w:u w:val="single"/>
        </w:rPr>
      </w:pPr>
      <w:r>
        <w:rPr>
          <w:rFonts w:hint="eastAsia" w:ascii="宋体" w:hAnsi="宋体"/>
          <w:sz w:val="24"/>
        </w:rPr>
        <w:t>数量：</w:t>
      </w:r>
      <w:r>
        <w:rPr>
          <w:rFonts w:hint="eastAsia" w:ascii="宋体" w:cs="宋体"/>
          <w:sz w:val="24"/>
          <w:u w:val="single"/>
        </w:rPr>
        <w:t>1200吨</w:t>
      </w:r>
      <w:r>
        <w:rPr>
          <w:rFonts w:hint="eastAsia" w:ascii="宋体" w:cs="宋体"/>
          <w:sz w:val="24"/>
        </w:rPr>
        <w:t>（数量为年预估量，以实际发生量为准）</w:t>
      </w:r>
      <w:r>
        <w:rPr>
          <w:rFonts w:hint="eastAsia" w:ascii="宋体" w:hAnsi="宋体"/>
          <w:sz w:val="24"/>
        </w:rPr>
        <w:t>，</w:t>
      </w:r>
    </w:p>
    <w:p>
      <w:pPr>
        <w:spacing w:line="500" w:lineRule="exact"/>
        <w:ind w:firstLine="240" w:firstLineChars="100"/>
        <w:rPr>
          <w:rFonts w:ascii="宋体" w:hAnsi="宋体"/>
          <w:sz w:val="24"/>
          <w:u w:val="single"/>
        </w:rPr>
      </w:pPr>
      <w:r>
        <w:rPr>
          <w:rFonts w:hint="eastAsia" w:asciiTheme="minorEastAsia" w:hAnsiTheme="minorEastAsia" w:eastAsiaTheme="minorEastAsia"/>
          <w:bCs/>
          <w:kern w:val="0"/>
          <w:sz w:val="24"/>
        </w:rPr>
        <w:t>当月液氨（槽车）</w:t>
      </w:r>
      <w:r>
        <w:rPr>
          <w:rFonts w:hint="eastAsia" w:ascii="宋体" w:hAnsi="宋体" w:cs="宋体"/>
          <w:sz w:val="24"/>
        </w:rPr>
        <w:t>含税送到价=上个月卓创资讯网福建地区合成氨市场价格月均价+C</w:t>
      </w:r>
      <w:r>
        <w:rPr>
          <w:rFonts w:hint="eastAsia" w:ascii="宋体" w:hAnsi="宋体" w:cs="宋体"/>
          <w:sz w:val="24"/>
          <w:u w:val="single"/>
        </w:rPr>
        <w:t xml:space="preserve">        元/吨；</w:t>
      </w:r>
      <w:r>
        <w:rPr>
          <w:rFonts w:hint="eastAsia" w:ascii="宋体" w:hAnsi="宋体"/>
          <w:sz w:val="24"/>
        </w:rPr>
        <w:t>税率</w:t>
      </w:r>
      <w:r>
        <w:rPr>
          <w:rFonts w:hint="eastAsia" w:ascii="宋体" w:hAnsi="宋体"/>
          <w:sz w:val="24"/>
          <w:u w:val="single"/>
        </w:rPr>
        <w:t xml:space="preserve">  13%  。</w:t>
      </w:r>
    </w:p>
    <w:p>
      <w:pPr>
        <w:spacing w:line="500" w:lineRule="exact"/>
        <w:ind w:firstLine="240" w:firstLineChars="100"/>
        <w:rPr>
          <w:rFonts w:ascii="宋体" w:hAnsi="宋体"/>
          <w:sz w:val="24"/>
          <w:u w:val="single"/>
        </w:rPr>
      </w:pPr>
      <w:r>
        <w:rPr>
          <w:rFonts w:hint="eastAsia" w:ascii="宋体" w:hAnsi="宋体"/>
          <w:sz w:val="24"/>
          <w:u w:val="single"/>
        </w:rPr>
        <w:t>以上公式报价中的C值和</w:t>
      </w:r>
      <w:r>
        <w:rPr>
          <w:rFonts w:hint="eastAsia" w:ascii="宋体" w:hAnsi="宋体" w:cs="宋体"/>
          <w:sz w:val="24"/>
          <w:u w:val="single"/>
        </w:rPr>
        <w:t>上个月卓创资讯网福建地区合成氨市场价格月均价，</w:t>
      </w:r>
      <w:r>
        <w:rPr>
          <w:rFonts w:hint="eastAsia" w:ascii="宋体" w:hAnsi="宋体"/>
          <w:sz w:val="24"/>
          <w:u w:val="single"/>
        </w:rPr>
        <w:t>对应的增值税率为13%，在合同履行期间，如遇国家的税率调整，则，调整后的C1=原C值/1.13*新增值税率；</w:t>
      </w:r>
      <w:r>
        <w:rPr>
          <w:rFonts w:ascii="宋体" w:hAnsi="宋体"/>
          <w:sz w:val="24"/>
          <w:u w:val="single"/>
        </w:rPr>
        <w:t xml:space="preserve"> </w:t>
      </w:r>
    </w:p>
    <w:p>
      <w:pPr>
        <w:spacing w:line="350" w:lineRule="exact"/>
        <w:jc w:val="left"/>
        <w:rPr>
          <w:rFonts w:hint="eastAsia" w:ascii="宋体" w:hAnsi="宋体" w:cs="宋体"/>
          <w:sz w:val="24"/>
        </w:rPr>
      </w:pPr>
      <w:r>
        <w:rPr>
          <w:rFonts w:hint="eastAsia" w:ascii="宋体" w:hAnsi="宋体"/>
          <w:sz w:val="24"/>
        </w:rPr>
        <w:t>注：</w:t>
      </w:r>
      <w:r>
        <w:rPr>
          <w:rFonts w:hint="eastAsia" w:asciiTheme="minorEastAsia" w:hAnsiTheme="minorEastAsia" w:eastAsiaTheme="minorEastAsia"/>
          <w:bCs/>
          <w:kern w:val="0"/>
          <w:sz w:val="24"/>
        </w:rPr>
        <w:t>月均价计价周期：上个月第壹个计价日至上个月最后壹个计价日计算，逢节假日及周末以网站公布为准，</w:t>
      </w:r>
      <w:r>
        <w:rPr>
          <w:rFonts w:hint="eastAsia" w:ascii="宋体" w:hAnsi="宋体" w:cs="宋体"/>
          <w:sz w:val="24"/>
        </w:rPr>
        <w:t>C为包含物流、账期等综合费用，仅对C值报价，最低价中选。参选人需对全部比选数量进行报价。具体查询：卓创资讯→农资→化肥网→合成氨/液氨→合成氨价格查询→华东地区→福建市场。</w:t>
      </w:r>
    </w:p>
    <w:p>
      <w:pPr>
        <w:numPr>
          <w:ilvl w:val="0"/>
          <w:numId w:val="9"/>
        </w:numPr>
        <w:spacing w:line="312" w:lineRule="auto"/>
        <w:rPr>
          <w:rFonts w:ascii="宋体" w:hAnsi="宋体"/>
          <w:sz w:val="24"/>
        </w:rPr>
      </w:pPr>
      <w:r>
        <w:rPr>
          <w:rFonts w:hint="eastAsia" w:ascii="宋体" w:hAnsi="宋体"/>
          <w:sz w:val="24"/>
        </w:rPr>
        <w:t>质量验收标准 （详见附件1“液氨（槽车）质量规范”）。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tabs>
          <w:tab w:val="left" w:pos="1985"/>
        </w:tabs>
        <w:spacing w:line="312" w:lineRule="auto"/>
        <w:rPr>
          <w:rFonts w:ascii="宋体" w:hAnsi="宋体"/>
          <w:sz w:val="24"/>
        </w:rPr>
      </w:pPr>
      <w:r>
        <w:rPr>
          <w:rFonts w:hint="eastAsia" w:ascii="宋体" w:hAnsi="宋体"/>
          <w:sz w:val="24"/>
        </w:rPr>
        <w:t>我公司同意在参选前缴纳保证金</w:t>
      </w:r>
      <w:r>
        <w:rPr>
          <w:rFonts w:hint="eastAsia" w:ascii="宋体" w:hAnsi="宋体"/>
          <w:sz w:val="24"/>
          <w:lang w:eastAsia="zh-CN"/>
        </w:rPr>
        <w:t>25000</w:t>
      </w:r>
      <w:r>
        <w:rPr>
          <w:rFonts w:hint="eastAsia" w:ascii="宋体" w:hAnsi="宋体"/>
          <w:sz w:val="24"/>
        </w:rPr>
        <w:t>元。</w:t>
      </w:r>
    </w:p>
    <w:p>
      <w:pPr>
        <w:spacing w:line="312" w:lineRule="auto"/>
        <w:jc w:val="left"/>
        <w:rPr>
          <w:rFonts w:ascii="宋体" w:hAnsi="宋体"/>
          <w:sz w:val="24"/>
        </w:rPr>
      </w:pPr>
      <w:r>
        <w:rPr>
          <w:rFonts w:hint="eastAsia" w:ascii="宋体" w:hAnsi="宋体"/>
          <w:sz w:val="24"/>
        </w:rPr>
        <w:t>二、到货期：从202</w:t>
      </w:r>
      <w:r>
        <w:rPr>
          <w:rFonts w:hint="eastAsia" w:ascii="宋体" w:hAnsi="宋体"/>
          <w:sz w:val="24"/>
          <w:lang w:val="en-US" w:eastAsia="zh-CN"/>
        </w:rPr>
        <w:t>4</w:t>
      </w:r>
      <w:r>
        <w:rPr>
          <w:rFonts w:hint="eastAsia" w:ascii="宋体" w:hAnsi="宋体"/>
          <w:sz w:val="24"/>
        </w:rPr>
        <w:t>年1日1日</w:t>
      </w:r>
      <w:r>
        <w:rPr>
          <w:rFonts w:hint="eastAsia" w:ascii="宋体" w:hAnsi="宋体" w:cs="宋体"/>
          <w:sz w:val="24"/>
        </w:rPr>
        <w:t>将货物交付需方，</w:t>
      </w:r>
      <w:r>
        <w:rPr>
          <w:rFonts w:hint="eastAsia" w:ascii="宋体" w:hAnsi="宋体"/>
          <w:sz w:val="24"/>
        </w:rPr>
        <w:t>每月均衡到货，</w:t>
      </w:r>
      <w:r>
        <w:rPr>
          <w:rFonts w:hint="eastAsia" w:ascii="宋体" w:hAnsi="宋体" w:cs="宋体"/>
          <w:sz w:val="24"/>
        </w:rPr>
        <w:t>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000000"/>
          <w:sz w:val="24"/>
        </w:rPr>
      </w:pPr>
      <w:r>
        <w:rPr>
          <w:rFonts w:hint="eastAsia" w:ascii="宋体" w:hAnsi="宋体"/>
          <w:sz w:val="24"/>
        </w:rPr>
        <w:t>四、</w:t>
      </w:r>
      <w:r>
        <w:rPr>
          <w:rFonts w:hint="eastAsia" w:ascii="宋体" w:hAnsi="宋体"/>
          <w:color w:val="000000"/>
          <w:sz w:val="24"/>
        </w:rPr>
        <w:t>质量验收标准：以需方质量规范验收为准。质量不合格需方有权作退货处理。</w:t>
      </w:r>
      <w:r>
        <w:rPr>
          <w:rFonts w:ascii="宋体" w:hAnsi="宋体"/>
          <w:color w:val="000000"/>
          <w:sz w:val="24"/>
        </w:rPr>
        <w:t xml:space="preserve"> </w:t>
      </w:r>
    </w:p>
    <w:p>
      <w:pPr>
        <w:numPr>
          <w:ilvl w:val="0"/>
          <w:numId w:val="10"/>
        </w:numPr>
        <w:spacing w:line="312" w:lineRule="auto"/>
        <w:rPr>
          <w:rFonts w:ascii="宋体" w:hAnsi="宋体"/>
          <w:color w:val="000000"/>
          <w:sz w:val="24"/>
        </w:rPr>
      </w:pPr>
      <w:r>
        <w:rPr>
          <w:rFonts w:hint="eastAsia" w:ascii="宋体" w:hAnsi="宋体"/>
          <w:color w:val="000000"/>
          <w:sz w:val="24"/>
        </w:rPr>
        <w:t>数量验收以需方使用单位检验数量为准。</w:t>
      </w:r>
    </w:p>
    <w:p>
      <w:pPr>
        <w:spacing w:line="312" w:lineRule="auto"/>
        <w:rPr>
          <w:rFonts w:ascii="宋体" w:hAnsi="宋体"/>
          <w:color w:val="000000"/>
          <w:sz w:val="24"/>
        </w:rPr>
      </w:pPr>
      <w:r>
        <w:rPr>
          <w:rFonts w:hint="eastAsia" w:ascii="宋体" w:hAnsi="宋体"/>
          <w:color w:val="000000"/>
          <w:sz w:val="24"/>
        </w:rPr>
        <w:t>六、执行时间：202</w:t>
      </w:r>
      <w:r>
        <w:rPr>
          <w:rFonts w:hint="eastAsia" w:ascii="宋体" w:hAnsi="宋体"/>
          <w:color w:val="000000"/>
          <w:sz w:val="24"/>
          <w:lang w:val="en-US" w:eastAsia="zh-CN"/>
        </w:rPr>
        <w:t>4</w:t>
      </w:r>
      <w:r>
        <w:rPr>
          <w:rFonts w:hint="eastAsia" w:ascii="宋体" w:hAnsi="宋体"/>
          <w:color w:val="000000"/>
          <w:sz w:val="24"/>
        </w:rPr>
        <w:t>年1月1日</w:t>
      </w:r>
      <w:r>
        <w:rPr>
          <w:rFonts w:ascii="宋体" w:hAnsi="宋体"/>
          <w:color w:val="000000"/>
          <w:sz w:val="24"/>
        </w:rPr>
        <w:t>-20</w:t>
      </w:r>
      <w:r>
        <w:rPr>
          <w:rFonts w:hint="eastAsia" w:ascii="宋体" w:hAnsi="宋体"/>
          <w:color w:val="000000"/>
          <w:sz w:val="24"/>
        </w:rPr>
        <w:t>2</w:t>
      </w:r>
      <w:r>
        <w:rPr>
          <w:rFonts w:hint="eastAsia" w:ascii="宋体" w:hAnsi="宋体"/>
          <w:color w:val="000000"/>
          <w:sz w:val="24"/>
          <w:lang w:val="en-US" w:eastAsia="zh-CN"/>
        </w:rPr>
        <w:t>4</w:t>
      </w:r>
      <w:r>
        <w:rPr>
          <w:rFonts w:hint="eastAsia" w:ascii="宋体" w:hAnsi="宋体"/>
          <w:color w:val="000000"/>
          <w:sz w:val="24"/>
        </w:rPr>
        <w:t>年12月31日，其它约定以双方签订合同为准。</w:t>
      </w: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ascii="宋体"/>
          <w:sz w:val="24"/>
        </w:rPr>
      </w:pPr>
      <w:r>
        <w:rPr>
          <w:rFonts w:hint="eastAsia" w:ascii="宋体" w:hAnsi="宋体"/>
          <w:sz w:val="24"/>
        </w:rPr>
        <w:t>时间：</w:t>
      </w:r>
    </w:p>
    <w:p>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r>
        <w:rPr>
          <w:rFonts w:hint="eastAsia" w:ascii="宋体" w:hAnsi="宋体"/>
          <w:sz w:val="32"/>
          <w:szCs w:val="32"/>
        </w:rPr>
        <w:t>附表：</w:t>
      </w: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腾龙芳烃（漳州）有限公司：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4"/>
          <w:u w:val="single"/>
          <w:lang w:eastAsia="zh-CN"/>
        </w:rPr>
        <w:t>2023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-液氨（槽车）-112</w:t>
      </w:r>
      <w:r>
        <w:rPr>
          <w:rFonts w:hint="eastAsia" w:asciiTheme="minorEastAsia" w:hAnsiTheme="minorEastAsia" w:eastAsiaTheme="minorEastAsia"/>
          <w:bCs/>
          <w:sz w:val="24"/>
          <w:u w:val="single"/>
          <w:lang w:val="en-US" w:eastAsia="zh-CN"/>
        </w:rPr>
        <w:t>1</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（详见附件1“液氨（槽车）质量规范”）</w:t>
      </w:r>
      <w:bookmarkEnd w:id="1"/>
      <w:r>
        <w:rPr>
          <w:rFonts w:hint="eastAsia" w:ascii="宋体" w:hAnsi="宋体"/>
          <w:sz w:val="28"/>
          <w:szCs w:val="28"/>
        </w:rPr>
        <w:t>；数量：1200吨，当月液氨（槽车）含税送到价=上个月卓创资讯网福建地区合成氨市场价格月均价+C</w:t>
      </w:r>
      <w:r>
        <w:rPr>
          <w:rFonts w:hint="eastAsia" w:ascii="宋体" w:hAnsi="宋体"/>
          <w:sz w:val="28"/>
          <w:szCs w:val="28"/>
          <w:u w:val="single"/>
        </w:rPr>
        <w:t xml:space="preserve">        </w:t>
      </w:r>
      <w:r>
        <w:rPr>
          <w:rFonts w:hint="eastAsia" w:ascii="宋体" w:hAnsi="宋体"/>
          <w:sz w:val="28"/>
          <w:szCs w:val="28"/>
        </w:rPr>
        <w:t>元/吨；月均价计价周期：上个月第壹个计价日至上个月最后壹个计价日计算，逢节假日及周末以网站公布为准，C为包含物流、账期等综合费用。以汽运方式送到腾龙芳烃（漳州）有限公司（详见我公司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（详见附件“液氨（槽车）质量规范”）</w:t>
      </w:r>
      <w:r>
        <w:rPr>
          <w:rFonts w:hint="eastAsia" w:ascii="宋体" w:hAnsi="宋体"/>
          <w:sz w:val="28"/>
          <w:szCs w:val="28"/>
        </w:rPr>
        <w:t>；数量：1200吨，当月液氨（槽车）含税送到价=上个月卓创资讯网福建地区合成氨市场价格月均价+C</w:t>
      </w:r>
      <w:r>
        <w:rPr>
          <w:rFonts w:hint="eastAsia" w:ascii="宋体" w:hAnsi="宋体"/>
          <w:sz w:val="28"/>
          <w:szCs w:val="28"/>
          <w:u w:val="single"/>
        </w:rPr>
        <w:t xml:space="preserve">        </w:t>
      </w:r>
      <w:r>
        <w:rPr>
          <w:rFonts w:hint="eastAsia" w:ascii="宋体" w:hAnsi="宋体"/>
          <w:sz w:val="28"/>
          <w:szCs w:val="28"/>
        </w:rPr>
        <w:t>元/吨；月均价计价周期：上个月第壹个计价日至上个月最后壹个计价日计算，逢节假日及周末以网站公布为准，C为包含物流、账期等综合费用。以汽运方式送到腾龙芳烃（漳州）有限公司，根据贵公司实际需求进度安排供货。</w:t>
      </w:r>
    </w:p>
    <w:p>
      <w:pPr>
        <w:ind w:firstLine="570"/>
        <w:rPr>
          <w:rFonts w:ascii="宋体"/>
          <w:sz w:val="28"/>
          <w:szCs w:val="28"/>
        </w:rPr>
      </w:pPr>
      <w:r>
        <w:rPr>
          <w:rFonts w:hint="eastAsia" w:ascii="宋体" w:hAnsi="宋体"/>
          <w:sz w:val="28"/>
          <w:szCs w:val="28"/>
        </w:rPr>
        <w:t>执行时间：202</w:t>
      </w:r>
      <w:r>
        <w:rPr>
          <w:rFonts w:hint="eastAsia" w:ascii="宋体" w:hAnsi="宋体"/>
          <w:sz w:val="28"/>
          <w:szCs w:val="28"/>
          <w:lang w:val="en-US" w:eastAsia="zh-CN"/>
        </w:rPr>
        <w:t>4</w:t>
      </w:r>
      <w:r>
        <w:rPr>
          <w:rFonts w:hint="eastAsia" w:ascii="宋体" w:hAnsi="宋体"/>
          <w:sz w:val="28"/>
          <w:szCs w:val="28"/>
        </w:rPr>
        <w:t>年1月1日</w:t>
      </w:r>
      <w:r>
        <w:rPr>
          <w:rFonts w:ascii="宋体" w:hAnsi="宋体"/>
          <w:sz w:val="28"/>
          <w:szCs w:val="28"/>
        </w:rPr>
        <w:t>-</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年12月31日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ordWrap w:val="0"/>
        <w:jc w:val="left"/>
        <w:rPr>
          <w:rFonts w:ascii="宋体" w:hAnsi="宋体"/>
          <w:sz w:val="28"/>
          <w:szCs w:val="28"/>
        </w:rPr>
      </w:pPr>
    </w:p>
    <w:p>
      <w:pPr>
        <w:wordWrap w:val="0"/>
        <w:jc w:val="left"/>
        <w:rPr>
          <w:rFonts w:ascii="宋体" w:hAnsi="宋体"/>
          <w:sz w:val="28"/>
          <w:szCs w:val="28"/>
        </w:rPr>
      </w:pPr>
      <w:r>
        <w:rPr>
          <w:rFonts w:hint="eastAsia" w:ascii="宋体" w:hAnsi="宋体"/>
          <w:sz w:val="28"/>
          <w:szCs w:val="28"/>
        </w:rPr>
        <w:t>附件1、</w:t>
      </w:r>
    </w:p>
    <w:p>
      <w:pPr>
        <w:spacing w:line="360" w:lineRule="auto"/>
        <w:jc w:val="center"/>
        <w:rPr>
          <w:rFonts w:hAnsi="宋体"/>
          <w:b/>
          <w:sz w:val="44"/>
          <w:szCs w:val="72"/>
        </w:rPr>
      </w:pPr>
      <w:r>
        <w:rPr>
          <w:rFonts w:hint="eastAsia" w:hAnsi="宋体"/>
          <w:b/>
          <w:sz w:val="44"/>
          <w:szCs w:val="72"/>
        </w:rPr>
        <w:t>液氨（槽车）质量规范</w:t>
      </w:r>
    </w:p>
    <w:p>
      <w:pPr>
        <w:rPr>
          <w:rFonts w:asciiTheme="minorEastAsia" w:hAnsiTheme="minorEastAsia"/>
          <w:sz w:val="28"/>
          <w:szCs w:val="28"/>
        </w:rPr>
      </w:pPr>
      <w:r>
        <w:rPr>
          <w:rFonts w:hint="eastAsia" w:asciiTheme="minorEastAsia" w:hAnsiTheme="minorEastAsia"/>
          <w:sz w:val="28"/>
          <w:szCs w:val="28"/>
        </w:rPr>
        <w:t>液氨。年计划使用量：1200吨。备注：1200吨为预估使用量。</w:t>
      </w:r>
    </w:p>
    <w:p>
      <w:pPr>
        <w:rPr>
          <w:rFonts w:hint="eastAsia" w:eastAsia="宋体"/>
          <w:b/>
          <w:bCs/>
          <w:color w:val="000000"/>
          <w:sz w:val="28"/>
          <w:szCs w:val="28"/>
          <w:lang w:eastAsia="zh-CN"/>
        </w:rPr>
      </w:pPr>
      <w:r>
        <w:rPr>
          <w:rFonts w:hint="eastAsia" w:eastAsia="宋体"/>
          <w:b/>
          <w:bCs/>
          <w:color w:val="000000"/>
          <w:sz w:val="28"/>
          <w:szCs w:val="28"/>
          <w:lang w:eastAsia="zh-CN"/>
        </w:rPr>
        <w:drawing>
          <wp:inline distT="0" distB="0" distL="114300" distR="114300">
            <wp:extent cx="5269230" cy="2915285"/>
            <wp:effectExtent l="0" t="0" r="7620" b="18415"/>
            <wp:docPr id="1" name="图片 1" descr="液氨(槽车)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液氨(槽车)质量规范"/>
                    <pic:cNvPicPr>
                      <a:picLocks noChangeAspect="1"/>
                    </pic:cNvPicPr>
                  </pic:nvPicPr>
                  <pic:blipFill>
                    <a:blip r:embed="rId5"/>
                    <a:stretch>
                      <a:fillRect/>
                    </a:stretch>
                  </pic:blipFill>
                  <pic:spPr>
                    <a:xfrm>
                      <a:off x="0" y="0"/>
                      <a:ext cx="5269230" cy="2915285"/>
                    </a:xfrm>
                    <a:prstGeom prst="rect">
                      <a:avLst/>
                    </a:prstGeom>
                  </pic:spPr>
                </pic:pic>
              </a:graphicData>
            </a:graphic>
          </wp:inline>
        </w:drawing>
      </w:r>
    </w:p>
    <w:p>
      <w:pPr>
        <w:rPr>
          <w:rFonts w:asciiTheme="minorEastAsia" w:hAnsiTheme="minorEastAsia"/>
          <w:sz w:val="28"/>
          <w:szCs w:val="28"/>
        </w:rPr>
      </w:pPr>
    </w:p>
    <w:p>
      <w:pPr>
        <w:spacing w:line="360" w:lineRule="auto"/>
        <w:jc w:val="center"/>
        <w:rPr>
          <w:b/>
          <w:sz w:val="44"/>
          <w:szCs w:val="72"/>
        </w:rPr>
      </w:pPr>
    </w:p>
    <w:p>
      <w:pPr>
        <w:spacing w:line="360" w:lineRule="auto"/>
        <w:jc w:val="center"/>
        <w:rPr>
          <w:b/>
          <w:sz w:val="44"/>
          <w:szCs w:val="72"/>
        </w:rPr>
      </w:pPr>
    </w:p>
    <w:p>
      <w:pPr>
        <w:spacing w:line="360" w:lineRule="auto"/>
        <w:jc w:val="center"/>
        <w:rPr>
          <w:b/>
          <w:sz w:val="44"/>
          <w:szCs w:val="72"/>
        </w:rPr>
      </w:pPr>
    </w:p>
    <w:p>
      <w:pPr>
        <w:spacing w:line="360" w:lineRule="auto"/>
        <w:jc w:val="both"/>
        <w:rPr>
          <w:b/>
          <w:sz w:val="44"/>
          <w:szCs w:val="72"/>
        </w:rPr>
      </w:pPr>
    </w:p>
    <w:p>
      <w:pPr>
        <w:spacing w:line="360" w:lineRule="auto"/>
        <w:jc w:val="both"/>
        <w:rPr>
          <w:b/>
          <w:sz w:val="44"/>
          <w:szCs w:val="72"/>
        </w:rPr>
      </w:pPr>
    </w:p>
    <w:p>
      <w:pPr>
        <w:spacing w:line="360" w:lineRule="auto"/>
        <w:jc w:val="center"/>
        <w:rPr>
          <w:b/>
          <w:sz w:val="44"/>
          <w:szCs w:val="72"/>
        </w:rPr>
      </w:pPr>
    </w:p>
    <w:p>
      <w:pPr>
        <w:spacing w:line="360" w:lineRule="auto"/>
        <w:jc w:val="center"/>
        <w:rPr>
          <w:b/>
          <w:sz w:val="44"/>
          <w:szCs w:val="72"/>
        </w:rPr>
      </w:pPr>
    </w:p>
    <w:p>
      <w:pPr>
        <w:spacing w:line="360" w:lineRule="auto"/>
        <w:jc w:val="center"/>
        <w:rPr>
          <w:b/>
          <w:sz w:val="44"/>
          <w:szCs w:val="72"/>
        </w:rPr>
      </w:pPr>
    </w:p>
    <w:p>
      <w:pPr>
        <w:spacing w:line="360" w:lineRule="auto"/>
        <w:jc w:val="center"/>
        <w:rPr>
          <w:b/>
          <w:sz w:val="44"/>
          <w:szCs w:val="72"/>
        </w:rPr>
      </w:pPr>
    </w:p>
    <w:p>
      <w:pPr>
        <w:spacing w:line="360" w:lineRule="auto"/>
        <w:jc w:val="center"/>
        <w:rPr>
          <w:b/>
          <w:sz w:val="44"/>
          <w:szCs w:val="72"/>
        </w:rPr>
      </w:pPr>
    </w:p>
    <w:p>
      <w:pPr>
        <w:spacing w:line="280" w:lineRule="exact"/>
        <w:jc w:val="center"/>
        <w:rPr>
          <w:rFonts w:ascii="宋体" w:hAnsi="宋体"/>
          <w:b/>
          <w:color w:val="000000"/>
          <w:sz w:val="24"/>
        </w:rPr>
      </w:pPr>
      <w:r>
        <w:rPr>
          <w:rFonts w:hint="eastAsia" w:ascii="宋体" w:hAnsi="宋体"/>
          <w:b/>
          <w:color w:val="000000"/>
          <w:sz w:val="24"/>
        </w:rPr>
        <w:t>一般货物（产品）采购合同</w:t>
      </w:r>
    </w:p>
    <w:p>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 xml:space="preserve">供方：                         </w:t>
      </w:r>
    </w:p>
    <w:p>
      <w:pPr>
        <w:spacing w:line="280" w:lineRule="exact"/>
        <w:rPr>
          <w:rFonts w:ascii="宋体" w:hAnsi="宋体"/>
          <w:b/>
          <w:color w:val="000000"/>
          <w:szCs w:val="21"/>
        </w:rPr>
      </w:pPr>
      <w:r>
        <w:rPr>
          <w:rFonts w:hint="eastAsia" w:ascii="宋体" w:hAnsi="宋体"/>
          <w:b/>
          <w:color w:val="000000"/>
          <w:szCs w:val="21"/>
        </w:rPr>
        <w:t>需方：腾龙芳烃（漳州）有限公司</w:t>
      </w:r>
      <w:r>
        <w:rPr>
          <w:rFonts w:ascii="宋体" w:hAnsi="宋体"/>
          <w:b/>
          <w:color w:val="000000"/>
          <w:szCs w:val="21"/>
        </w:rPr>
        <w:t xml:space="preserve"> </w:t>
      </w:r>
    </w:p>
    <w:p>
      <w:pPr>
        <w:spacing w:line="280" w:lineRule="exact"/>
        <w:ind w:firstLine="315" w:firstLineChars="150"/>
        <w:rPr>
          <w:rFonts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漳州  </w:t>
      </w:r>
      <w:r>
        <w:rPr>
          <w:rFonts w:hint="eastAsia" w:ascii="宋体" w:hAnsi="宋体"/>
          <w:color w:val="000000"/>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7"/>
        <w:tblW w:w="945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03"/>
        <w:gridCol w:w="714"/>
        <w:gridCol w:w="698"/>
        <w:gridCol w:w="625"/>
        <w:gridCol w:w="1518"/>
        <w:gridCol w:w="1168"/>
        <w:gridCol w:w="951"/>
        <w:gridCol w:w="95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12" w:type="dxa"/>
            <w:vAlign w:val="center"/>
          </w:tcPr>
          <w:p>
            <w:pPr>
              <w:spacing w:line="280" w:lineRule="exact"/>
              <w:jc w:val="center"/>
              <w:rPr>
                <w:rFonts w:ascii="宋体" w:hAnsi="宋体"/>
                <w:color w:val="000000"/>
                <w:szCs w:val="21"/>
              </w:rPr>
            </w:pPr>
            <w:r>
              <w:rPr>
                <w:rFonts w:hint="eastAsia" w:ascii="宋体" w:hAnsi="宋体"/>
                <w:color w:val="000000"/>
                <w:szCs w:val="21"/>
              </w:rPr>
              <w:t>产品名称</w:t>
            </w:r>
          </w:p>
        </w:tc>
        <w:tc>
          <w:tcPr>
            <w:tcW w:w="703" w:type="dxa"/>
            <w:vAlign w:val="center"/>
          </w:tcPr>
          <w:p>
            <w:pPr>
              <w:spacing w:line="280" w:lineRule="exact"/>
              <w:jc w:val="center"/>
              <w:rPr>
                <w:rFonts w:ascii="宋体" w:hAnsi="宋体"/>
                <w:color w:val="000000"/>
                <w:szCs w:val="21"/>
              </w:rPr>
            </w:pPr>
            <w:r>
              <w:rPr>
                <w:rFonts w:hint="eastAsia" w:ascii="宋体" w:hAnsi="宋体"/>
                <w:color w:val="000000"/>
                <w:szCs w:val="21"/>
              </w:rPr>
              <w:t>生产厂家</w:t>
            </w:r>
          </w:p>
        </w:tc>
        <w:tc>
          <w:tcPr>
            <w:tcW w:w="714"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698"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625"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518"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含税单价(元/吨）</w:t>
            </w:r>
          </w:p>
        </w:tc>
        <w:tc>
          <w:tcPr>
            <w:tcW w:w="1168" w:type="dxa"/>
            <w:tcBorders>
              <w:bottom w:val="single" w:color="auto" w:sz="4" w:space="0"/>
            </w:tcBorders>
            <w:vAlign w:val="center"/>
          </w:tcPr>
          <w:p>
            <w:pPr>
              <w:spacing w:line="280" w:lineRule="exact"/>
              <w:jc w:val="center"/>
              <w:rPr>
                <w:rFonts w:ascii="宋体" w:hAnsi="宋体"/>
                <w:color w:val="000000"/>
                <w:szCs w:val="21"/>
              </w:rPr>
            </w:pPr>
            <w:r>
              <w:rPr>
                <w:rFonts w:hint="eastAsia" w:ascii="宋体" w:hAnsi="宋体"/>
                <w:color w:val="000000"/>
                <w:szCs w:val="21"/>
              </w:rPr>
              <w:t>含税总金额（元）</w:t>
            </w:r>
          </w:p>
        </w:tc>
        <w:tc>
          <w:tcPr>
            <w:tcW w:w="951" w:type="dxa"/>
            <w:vAlign w:val="center"/>
          </w:tcPr>
          <w:p>
            <w:pPr>
              <w:spacing w:line="280" w:lineRule="exact"/>
              <w:jc w:val="center"/>
              <w:rPr>
                <w:rFonts w:hint="default" w:ascii="宋体" w:hAnsi="宋体"/>
                <w:color w:val="000000"/>
                <w:szCs w:val="21"/>
                <w:lang w:val="en-US" w:eastAsia="zh-CN"/>
              </w:rPr>
            </w:pPr>
            <w:r>
              <w:rPr>
                <w:rFonts w:hint="eastAsia" w:ascii="宋体" w:hAnsi="宋体"/>
                <w:color w:val="000000"/>
                <w:szCs w:val="21"/>
                <w:lang w:val="en-US" w:eastAsia="zh-CN"/>
              </w:rPr>
              <w:t>不含税总金额（元）</w:t>
            </w:r>
          </w:p>
        </w:tc>
        <w:tc>
          <w:tcPr>
            <w:tcW w:w="951"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税金（元）</w:t>
            </w:r>
          </w:p>
        </w:tc>
        <w:tc>
          <w:tcPr>
            <w:tcW w:w="1414" w:type="dxa"/>
            <w:vAlign w:val="center"/>
          </w:tcPr>
          <w:p>
            <w:pPr>
              <w:spacing w:line="28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712"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液氨（槽车）</w:t>
            </w:r>
          </w:p>
        </w:tc>
        <w:tc>
          <w:tcPr>
            <w:tcW w:w="703"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w:t>
            </w:r>
          </w:p>
        </w:tc>
        <w:tc>
          <w:tcPr>
            <w:tcW w:w="714"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rPr>
              <w:t>氨含量</w:t>
            </w:r>
            <w:r>
              <w:rPr>
                <w:rFonts w:ascii="宋体" w:hAnsi="宋体"/>
                <w:color w:val="000000"/>
                <w:sz w:val="18"/>
                <w:szCs w:val="18"/>
              </w:rPr>
              <w:t>≥</w:t>
            </w:r>
            <w:r>
              <w:rPr>
                <w:rFonts w:hint="eastAsia" w:ascii="宋体" w:hAnsi="宋体"/>
                <w:color w:val="000000"/>
                <w:sz w:val="18"/>
                <w:szCs w:val="18"/>
              </w:rPr>
              <w:t>99.</w:t>
            </w:r>
            <w:r>
              <w:rPr>
                <w:rFonts w:hint="eastAsia" w:ascii="宋体" w:hAnsi="宋体"/>
                <w:color w:val="000000"/>
                <w:sz w:val="18"/>
                <w:szCs w:val="18"/>
                <w:lang w:val="en-US" w:eastAsia="zh-CN"/>
              </w:rPr>
              <w:t>8</w:t>
            </w:r>
            <w:r>
              <w:rPr>
                <w:rFonts w:hint="eastAsia" w:ascii="宋体" w:hAnsi="宋体"/>
                <w:color w:val="000000"/>
                <w:sz w:val="18"/>
                <w:szCs w:val="18"/>
              </w:rPr>
              <w:t>%</w:t>
            </w:r>
            <w:r>
              <w:rPr>
                <w:rFonts w:hint="eastAsia" w:ascii="宋体" w:hAnsi="宋体"/>
                <w:color w:val="000000"/>
                <w:sz w:val="18"/>
                <w:szCs w:val="18"/>
                <w:lang w:eastAsia="zh-CN"/>
              </w:rPr>
              <w:t>，</w:t>
            </w:r>
            <w:r>
              <w:rPr>
                <w:rFonts w:hint="eastAsia" w:ascii="宋体" w:hAnsi="宋体"/>
                <w:color w:val="000000"/>
                <w:sz w:val="18"/>
                <w:szCs w:val="18"/>
                <w:lang w:val="en-US" w:eastAsia="zh-CN"/>
              </w:rPr>
              <w:t>详见附件</w:t>
            </w:r>
          </w:p>
        </w:tc>
        <w:tc>
          <w:tcPr>
            <w:tcW w:w="698"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吨</w:t>
            </w:r>
          </w:p>
        </w:tc>
        <w:tc>
          <w:tcPr>
            <w:tcW w:w="625"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1200</w:t>
            </w:r>
          </w:p>
        </w:tc>
        <w:tc>
          <w:tcPr>
            <w:tcW w:w="1518" w:type="dxa"/>
            <w:tcBorders>
              <w:tr2bl w:val="nil"/>
            </w:tcBorders>
            <w:vAlign w:val="center"/>
          </w:tcPr>
          <w:p>
            <w:pPr>
              <w:spacing w:line="280" w:lineRule="exact"/>
              <w:jc w:val="center"/>
              <w:rPr>
                <w:rFonts w:ascii="宋体" w:hAnsi="宋体"/>
                <w:color w:val="000000"/>
                <w:sz w:val="18"/>
                <w:szCs w:val="18"/>
              </w:rPr>
            </w:pPr>
            <w:r>
              <w:rPr>
                <w:rFonts w:hint="eastAsia" w:ascii="宋体" w:hAnsi="宋体"/>
                <w:color w:val="000000"/>
                <w:sz w:val="18"/>
                <w:szCs w:val="18"/>
              </w:rPr>
              <w:t>当月液氨（槽车）含税送到价=上个月卓创资讯网福建地区合成氨市场价格月均价+C元/吨</w:t>
            </w:r>
          </w:p>
        </w:tc>
        <w:tc>
          <w:tcPr>
            <w:tcW w:w="1168" w:type="dxa"/>
            <w:tcBorders>
              <w:tr2bl w:val="nil"/>
            </w:tcBorders>
            <w:vAlign w:val="center"/>
          </w:tcPr>
          <w:p>
            <w:pPr>
              <w:spacing w:line="280" w:lineRule="exact"/>
              <w:jc w:val="center"/>
              <w:rPr>
                <w:rFonts w:ascii="宋体" w:hAnsi="宋体"/>
                <w:color w:val="000000"/>
                <w:sz w:val="18"/>
                <w:szCs w:val="18"/>
              </w:rPr>
            </w:pPr>
            <w:r>
              <w:rPr>
                <w:rFonts w:hint="eastAsia" w:ascii="宋体" w:hAnsi="宋体"/>
                <w:color w:val="000000"/>
                <w:sz w:val="18"/>
                <w:szCs w:val="18"/>
              </w:rPr>
              <w:t>/</w:t>
            </w:r>
          </w:p>
        </w:tc>
        <w:tc>
          <w:tcPr>
            <w:tcW w:w="951" w:type="dxa"/>
            <w:vAlign w:val="center"/>
          </w:tcPr>
          <w:p>
            <w:pPr>
              <w:spacing w:line="28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951" w:type="dxa"/>
            <w:vAlign w:val="center"/>
          </w:tcPr>
          <w:p>
            <w:pPr>
              <w:spacing w:line="28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414" w:type="dxa"/>
            <w:vAlign w:val="center"/>
          </w:tcPr>
          <w:p>
            <w:pPr>
              <w:spacing w:line="280" w:lineRule="exact"/>
              <w:jc w:val="center"/>
              <w:rPr>
                <w:rFonts w:ascii="宋体" w:hAnsi="宋体"/>
                <w:color w:val="000000"/>
                <w:sz w:val="18"/>
                <w:szCs w:val="18"/>
              </w:rPr>
            </w:pPr>
            <w:r>
              <w:rPr>
                <w:rFonts w:hint="eastAsia" w:ascii="宋体" w:hAnsi="宋体"/>
                <w:color w:val="000000"/>
                <w:sz w:val="18"/>
                <w:szCs w:val="18"/>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415" w:type="dxa"/>
            <w:gridSpan w:val="2"/>
            <w:vAlign w:val="center"/>
          </w:tcPr>
          <w:p>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8039" w:type="dxa"/>
            <w:gridSpan w:val="8"/>
            <w:vAlign w:val="center"/>
          </w:tcPr>
          <w:p>
            <w:pPr>
              <w:spacing w:line="280" w:lineRule="exact"/>
              <w:rPr>
                <w:rFonts w:ascii="宋体" w:hAnsi="宋体"/>
                <w:color w:val="000000"/>
                <w:szCs w:val="21"/>
              </w:rPr>
            </w:pPr>
            <w:r>
              <w:rPr>
                <w:rFonts w:hint="eastAsia" w:ascii="宋体" w:hAnsi="宋体"/>
                <w:color w:val="000000"/>
                <w:szCs w:val="21"/>
              </w:rPr>
              <w:t>现汇，分批到货，分批付款。</w:t>
            </w:r>
          </w:p>
        </w:tc>
      </w:tr>
    </w:tbl>
    <w:p>
      <w:pPr>
        <w:spacing w:line="500" w:lineRule="exact"/>
        <w:ind w:firstLine="210" w:firstLineChars="100"/>
        <w:rPr>
          <w:rFonts w:ascii="宋体" w:hAnsi="宋体"/>
          <w:color w:val="000000"/>
          <w:szCs w:val="21"/>
        </w:rPr>
      </w:pPr>
      <w:r>
        <w:rPr>
          <w:rFonts w:hint="eastAsia" w:ascii="宋体" w:hAnsi="宋体"/>
          <w:color w:val="000000"/>
          <w:szCs w:val="21"/>
        </w:rPr>
        <w:t>上述数量为暂定，需方可根据需要通过订单形式进行调整，双方按实际交货数量及实际交易价格结算。本合同约定价格中的C值和上个月卓创资讯网福建地区合成氨市场价格月均价，对应的增值税率为13%，在合同履行期间，如遇国家的税率调整，则，调整后的C1=原C值/1.13*新增值税率；</w:t>
      </w:r>
      <w:r>
        <w:rPr>
          <w:rFonts w:ascii="宋体" w:hAnsi="宋体"/>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01  </w:t>
      </w:r>
      <w:r>
        <w:rPr>
          <w:rFonts w:hint="eastAsia" w:ascii="宋体" w:hAnsi="宋体"/>
          <w:color w:val="000000"/>
          <w:szCs w:val="21"/>
        </w:rPr>
        <w:t>月</w:t>
      </w:r>
      <w:r>
        <w:rPr>
          <w:rFonts w:hint="eastAsia" w:ascii="宋体" w:hAnsi="宋体"/>
          <w:color w:val="000000"/>
          <w:szCs w:val="21"/>
          <w:u w:val="single"/>
        </w:rPr>
        <w:t xml:space="preserve">  01  </w:t>
      </w:r>
      <w:r>
        <w:rPr>
          <w:rFonts w:hint="eastAsia" w:ascii="宋体" w:hAnsi="宋体"/>
          <w:color w:val="000000"/>
          <w:szCs w:val="21"/>
        </w:rPr>
        <w:t>日至</w:t>
      </w:r>
      <w:r>
        <w:rPr>
          <w:rFonts w:hint="eastAsia" w:ascii="宋体" w:hAnsi="宋体"/>
          <w:color w:val="000000"/>
          <w:szCs w:val="21"/>
          <w:u w:val="single"/>
        </w:rPr>
        <w:t xml:space="preserve">   20</w:t>
      </w:r>
      <w:r>
        <w:rPr>
          <w:rFonts w:hint="eastAsia" w:ascii="宋体" w:hAnsi="宋体"/>
          <w:color w:val="000000"/>
          <w:szCs w:val="21"/>
          <w:u w:val="single"/>
          <w:lang w:val="en-US" w:eastAsia="zh-CN"/>
        </w:rPr>
        <w:t>24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12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供方需提供所供产品质量检验证明，以需方或需方指定单位验收为准，如化验不合格，需方有权</w:t>
      </w:r>
      <w:r>
        <w:rPr>
          <w:rFonts w:hint="eastAsia" w:ascii="宋体" w:hAnsi="宋体"/>
          <w:color w:val="000000"/>
          <w:szCs w:val="21"/>
          <w:u w:val="single"/>
        </w:rPr>
        <w:t xml:space="preserve">退换货，退换货所需的各项费用由供方承担。   </w:t>
      </w:r>
      <w:r>
        <w:rPr>
          <w:rFonts w:hint="eastAsia" w:ascii="宋体" w:hAnsi="宋体"/>
          <w:color w:val="000000"/>
          <w:szCs w:val="21"/>
        </w:rPr>
        <w:t>（详见附件  ）</w:t>
      </w:r>
    </w:p>
    <w:p>
      <w:pPr>
        <w:spacing w:line="280" w:lineRule="exact"/>
        <w:ind w:firstLine="420" w:firstLineChars="200"/>
        <w:rPr>
          <w:rFonts w:ascii="宋体" w:hAnsi="宋体"/>
          <w:color w:val="000000"/>
          <w:szCs w:val="21"/>
          <w:u w:val="single"/>
        </w:rPr>
      </w:pPr>
      <w:r>
        <w:rPr>
          <w:rFonts w:ascii="宋体" w:hAnsi="宋体"/>
          <w:color w:val="000000"/>
          <w:szCs w:val="21"/>
        </w:rPr>
        <w:t>1</w:t>
      </w:r>
      <w:r>
        <w:rPr>
          <w:rFonts w:hint="eastAsia" w:ascii="宋体" w:hAnsi="宋体"/>
          <w:color w:val="000000"/>
          <w:szCs w:val="21"/>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w:t>
      </w:r>
      <w:r>
        <w:rPr>
          <w:rFonts w:hint="eastAsia" w:ascii="宋体" w:hAnsi="宋体"/>
          <w:color w:val="000000"/>
          <w:szCs w:val="21"/>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w:t>
      </w:r>
      <w:r>
        <w:rPr>
          <w:rFonts w:hint="eastAsia" w:ascii="宋体" w:hAnsi="宋体" w:cs="Arial"/>
          <w:color w:val="000000"/>
          <w:szCs w:val="21"/>
        </w:rPr>
        <w:t>.</w:t>
      </w:r>
      <w:r>
        <w:rPr>
          <w:rFonts w:ascii="宋体" w:hAnsi="宋体" w:cs="Arial"/>
          <w:color w:val="000000"/>
          <w:szCs w:val="21"/>
        </w:rPr>
        <w:t>其他标准</w:t>
      </w:r>
      <w:r>
        <w:rPr>
          <w:rFonts w:hint="eastAsia" w:ascii="宋体" w:hAnsi="宋体" w:cs="Arial"/>
          <w:color w:val="000000"/>
          <w:szCs w:val="21"/>
          <w:u w:val="single"/>
        </w:rPr>
        <w:t xml:space="preserve">  </w:t>
      </w:r>
      <w:r>
        <w:rPr>
          <w:rFonts w:hint="eastAsia" w:ascii="宋体" w:hAnsi="宋体"/>
          <w:color w:val="000000"/>
          <w:sz w:val="18"/>
          <w:szCs w:val="18"/>
          <w:u w:val="single"/>
        </w:rPr>
        <w:t>氨含量</w:t>
      </w:r>
      <w:r>
        <w:rPr>
          <w:rFonts w:ascii="宋体" w:hAnsi="宋体"/>
          <w:color w:val="000000"/>
          <w:sz w:val="18"/>
          <w:szCs w:val="18"/>
          <w:u w:val="single"/>
        </w:rPr>
        <w:t>≥</w:t>
      </w:r>
      <w:r>
        <w:rPr>
          <w:rFonts w:hint="eastAsia" w:ascii="宋体" w:hAnsi="宋体"/>
          <w:color w:val="000000"/>
          <w:sz w:val="18"/>
          <w:szCs w:val="18"/>
          <w:u w:val="single"/>
        </w:rPr>
        <w:t>99.</w:t>
      </w:r>
      <w:r>
        <w:rPr>
          <w:rFonts w:hint="eastAsia" w:ascii="宋体" w:hAnsi="宋体"/>
          <w:color w:val="000000"/>
          <w:sz w:val="18"/>
          <w:szCs w:val="18"/>
          <w:u w:val="single"/>
          <w:lang w:val="en-US" w:eastAsia="zh-CN"/>
        </w:rPr>
        <w:t>8</w:t>
      </w:r>
      <w:r>
        <w:rPr>
          <w:rFonts w:hint="eastAsia" w:ascii="宋体" w:hAnsi="宋体"/>
          <w:color w:val="000000"/>
          <w:sz w:val="18"/>
          <w:szCs w:val="18"/>
          <w:u w:val="single"/>
        </w:rPr>
        <w:t>%</w:t>
      </w:r>
      <w:r>
        <w:rPr>
          <w:rFonts w:hint="eastAsia" w:ascii="宋体" w:hAnsi="宋体" w:cs="Arial"/>
          <w:color w:val="000000"/>
          <w:szCs w:val="21"/>
          <w:u w:val="single"/>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3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槽车   </w:t>
      </w:r>
      <w:r>
        <w:rPr>
          <w:rFonts w:hint="eastAsia" w:ascii="宋体" w:hAnsi="宋体"/>
          <w:color w:val="000000"/>
          <w:szCs w:val="21"/>
        </w:rPr>
        <w:t xml:space="preserve">   4.其他：</w:t>
      </w:r>
      <w:r>
        <w:rPr>
          <w:rFonts w:hint="eastAsia" w:ascii="宋体" w:hAnsi="宋体"/>
          <w:color w:val="000000"/>
          <w:szCs w:val="21"/>
          <w:u w:val="single"/>
        </w:rPr>
        <w:t xml:space="preserve">     /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每批订单产品全部到货后，经需方或需方指定单位：</w:t>
      </w:r>
      <w:r>
        <w:rPr>
          <w:rFonts w:hint="eastAsia" w:ascii="宋体" w:hAnsi="宋体"/>
          <w:color w:val="000000"/>
          <w:szCs w:val="21"/>
          <w:u w:val="single"/>
        </w:rPr>
        <w:t xml:space="preserve">  腾龙芳烃（漳州）有限公司   </w:t>
      </w:r>
      <w:r>
        <w:rPr>
          <w:rFonts w:hint="eastAsia" w:ascii="宋体" w:hAnsi="宋体"/>
          <w:color w:val="000000"/>
          <w:szCs w:val="21"/>
        </w:rPr>
        <w:t>（本合同中统称“需方”）根据本合同约定的质量、数量标准验收合格后，供方提供相应金额的增值税专用发票以及结算所需的各类清单，需方收到并确认无误后向供方支付货款。允许订单分批送货，分批结算，按实际到货数量结算，每批订单送货数量允许±5%溢短装。</w:t>
      </w:r>
    </w:p>
    <w:p>
      <w:pPr>
        <w:spacing w:line="350" w:lineRule="exact"/>
        <w:jc w:val="left"/>
        <w:rPr>
          <w:rFonts w:ascii="宋体" w:hAnsi="宋体" w:cs="宋体"/>
          <w:sz w:val="24"/>
          <w:u w:val="single"/>
        </w:rPr>
      </w:pPr>
      <w:r>
        <w:rPr>
          <w:rFonts w:hint="eastAsia" w:ascii="宋体" w:hAnsi="宋体"/>
          <w:color w:val="000000"/>
          <w:szCs w:val="21"/>
        </w:rPr>
        <w:t xml:space="preserve">    当月液氨（槽车）含税送到价=上个月卓创资讯网福建地区合成氨市场价格月均价+C元/吨；月均价计价周期：上个月第壹个计价日至上个月最后壹个计价日计算，逢节假日及周末以网站公布为准</w:t>
      </w:r>
      <w:r>
        <w:rPr>
          <w:rFonts w:hint="eastAsia" w:ascii="宋体" w:hAnsi="宋体"/>
          <w:color w:val="000000"/>
          <w:szCs w:val="21"/>
          <w:lang w:eastAsia="zh-CN"/>
        </w:rPr>
        <w:t>。</w:t>
      </w:r>
      <w:r>
        <w:rPr>
          <w:rFonts w:hint="eastAsia" w:ascii="宋体" w:hAnsi="宋体"/>
          <w:color w:val="000000"/>
          <w:szCs w:val="21"/>
        </w:rPr>
        <w:t>具体查询：卓创资讯→农资→化肥网→合成氨/液氨→合成氨价格查询→华东地区→福建市场。C为包含物流、账期等综合费用。以汽运方式送到腾龙芳烃（漳州）有限公司，根据贵公司实际需求进度安排供货。</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需方有权在本合同供货有效期内，分批向供方提交订单，订单应载明订购数量、订购金额、交付方式等事项。供方应在每批订单签订之日起</w:t>
      </w:r>
      <w:r>
        <w:rPr>
          <w:rFonts w:hint="eastAsia" w:ascii="宋体" w:hAnsi="宋体"/>
          <w:color w:val="000000"/>
          <w:szCs w:val="21"/>
          <w:u w:val="single"/>
        </w:rPr>
        <w:t xml:space="preserve">  于需方指定   </w:t>
      </w:r>
      <w:r>
        <w:rPr>
          <w:rFonts w:hint="eastAsia" w:ascii="宋体" w:hAnsi="宋体"/>
          <w:color w:val="000000"/>
          <w:szCs w:val="21"/>
        </w:rPr>
        <w:t>日内将每批订单项下货物交付需方。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ascii="宋体" w:hAnsi="宋体"/>
          <w:color w:val="000000"/>
          <w:szCs w:val="21"/>
          <w:u w:val="single"/>
        </w:rPr>
        <w:t>腾龙芳烃（漳州）有限公司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7"/>
        <w:tblW w:w="9868" w:type="dxa"/>
        <w:jc w:val="center"/>
        <w:tblLayout w:type="fixed"/>
        <w:tblCellMar>
          <w:top w:w="0" w:type="dxa"/>
          <w:left w:w="108" w:type="dxa"/>
          <w:bottom w:w="0" w:type="dxa"/>
          <w:right w:w="108" w:type="dxa"/>
        </w:tblCellMar>
      </w:tblPr>
      <w:tblGrid>
        <w:gridCol w:w="777"/>
        <w:gridCol w:w="191"/>
        <w:gridCol w:w="196"/>
        <w:gridCol w:w="193"/>
        <w:gridCol w:w="1161"/>
        <w:gridCol w:w="2418"/>
        <w:gridCol w:w="776"/>
        <w:gridCol w:w="193"/>
        <w:gridCol w:w="192"/>
        <w:gridCol w:w="108"/>
        <w:gridCol w:w="1248"/>
        <w:gridCol w:w="2415"/>
      </w:tblGrid>
      <w:tr>
        <w:tblPrEx>
          <w:tblCellMar>
            <w:top w:w="0" w:type="dxa"/>
            <w:left w:w="108" w:type="dxa"/>
            <w:bottom w:w="0" w:type="dxa"/>
            <w:right w:w="108" w:type="dxa"/>
          </w:tblCellMar>
        </w:tblPrEx>
        <w:trPr>
          <w:trHeight w:val="295" w:hRule="atLeast"/>
          <w:jc w:val="center"/>
        </w:trPr>
        <w:tc>
          <w:tcPr>
            <w:tcW w:w="1357" w:type="dxa"/>
            <w:gridSpan w:val="4"/>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578" w:type="dxa"/>
            <w:gridSpan w:val="2"/>
            <w:vAlign w:val="center"/>
          </w:tcPr>
          <w:p>
            <w:pPr>
              <w:spacing w:line="280" w:lineRule="exact"/>
              <w:rPr>
                <w:b/>
                <w:color w:val="000000"/>
                <w:szCs w:val="21"/>
              </w:rPr>
            </w:pPr>
          </w:p>
        </w:tc>
        <w:tc>
          <w:tcPr>
            <w:tcW w:w="1269" w:type="dxa"/>
            <w:gridSpan w:val="4"/>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663" w:type="dxa"/>
            <w:gridSpan w:val="2"/>
            <w:vAlign w:val="center"/>
          </w:tcPr>
          <w:p>
            <w:pPr>
              <w:spacing w:line="280" w:lineRule="exact"/>
              <w:rPr>
                <w:b/>
                <w:color w:val="000000"/>
                <w:szCs w:val="21"/>
              </w:rPr>
            </w:pPr>
            <w:r>
              <w:rPr>
                <w:rFonts w:hint="eastAsia" w:ascii="宋体" w:hAnsi="宋体"/>
                <w:b/>
                <w:color w:val="000000"/>
                <w:szCs w:val="21"/>
              </w:rPr>
              <w:t>腾龙芳烃（漳州）有限公司</w:t>
            </w:r>
          </w:p>
        </w:tc>
      </w:tr>
      <w:tr>
        <w:tblPrEx>
          <w:tblCellMar>
            <w:top w:w="0" w:type="dxa"/>
            <w:left w:w="108" w:type="dxa"/>
            <w:bottom w:w="0" w:type="dxa"/>
            <w:right w:w="108" w:type="dxa"/>
          </w:tblCellMar>
        </w:tblPrEx>
        <w:trPr>
          <w:trHeight w:val="295" w:hRule="atLeast"/>
          <w:jc w:val="center"/>
        </w:trPr>
        <w:tc>
          <w:tcPr>
            <w:tcW w:w="1357" w:type="dxa"/>
            <w:gridSpan w:val="4"/>
            <w:vAlign w:val="center"/>
          </w:tcPr>
          <w:p>
            <w:pPr>
              <w:spacing w:line="280" w:lineRule="exact"/>
              <w:rPr>
                <w:color w:val="000000"/>
                <w:szCs w:val="21"/>
              </w:rPr>
            </w:pPr>
            <w:r>
              <w:rPr>
                <w:rFonts w:hint="eastAsia" w:ascii="宋体" w:hAnsi="宋体"/>
                <w:color w:val="000000"/>
                <w:szCs w:val="21"/>
              </w:rPr>
              <w:t>工商注册号：</w:t>
            </w:r>
          </w:p>
        </w:tc>
        <w:tc>
          <w:tcPr>
            <w:tcW w:w="3578" w:type="dxa"/>
            <w:gridSpan w:val="2"/>
            <w:vAlign w:val="center"/>
          </w:tcPr>
          <w:p>
            <w:pPr>
              <w:spacing w:line="280" w:lineRule="exact"/>
              <w:rPr>
                <w:color w:val="000000"/>
                <w:szCs w:val="21"/>
              </w:rPr>
            </w:pPr>
          </w:p>
        </w:tc>
        <w:tc>
          <w:tcPr>
            <w:tcW w:w="1269" w:type="dxa"/>
            <w:gridSpan w:val="4"/>
            <w:vAlign w:val="center"/>
          </w:tcPr>
          <w:p>
            <w:pPr>
              <w:spacing w:line="280" w:lineRule="exact"/>
              <w:rPr>
                <w:color w:val="000000"/>
                <w:szCs w:val="21"/>
              </w:rPr>
            </w:pPr>
            <w:r>
              <w:rPr>
                <w:rFonts w:hint="eastAsia" w:ascii="宋体" w:hAnsi="宋体"/>
                <w:color w:val="000000"/>
                <w:szCs w:val="21"/>
              </w:rPr>
              <w:t>工商注册号：</w:t>
            </w:r>
          </w:p>
        </w:tc>
        <w:tc>
          <w:tcPr>
            <w:tcW w:w="3663" w:type="dxa"/>
            <w:gridSpan w:val="2"/>
            <w:vAlign w:val="center"/>
          </w:tcPr>
          <w:p>
            <w:pPr>
              <w:spacing w:line="280" w:lineRule="exact"/>
              <w:rPr>
                <w:color w:val="000000"/>
                <w:szCs w:val="21"/>
              </w:rPr>
            </w:pPr>
          </w:p>
        </w:tc>
      </w:tr>
      <w:tr>
        <w:tblPrEx>
          <w:tblCellMar>
            <w:top w:w="0" w:type="dxa"/>
            <w:left w:w="108" w:type="dxa"/>
            <w:bottom w:w="0" w:type="dxa"/>
            <w:right w:w="108" w:type="dxa"/>
          </w:tblCellMar>
        </w:tblPrEx>
        <w:trPr>
          <w:trHeight w:val="295" w:hRule="atLeast"/>
          <w:jc w:val="center"/>
        </w:trPr>
        <w:tc>
          <w:tcPr>
            <w:tcW w:w="777" w:type="dxa"/>
            <w:vAlign w:val="center"/>
          </w:tcPr>
          <w:p>
            <w:pPr>
              <w:spacing w:line="280" w:lineRule="exact"/>
              <w:rPr>
                <w:color w:val="000000"/>
                <w:szCs w:val="21"/>
              </w:rPr>
            </w:pPr>
            <w:r>
              <w:rPr>
                <w:rFonts w:hint="eastAsia" w:ascii="宋体" w:hAnsi="宋体"/>
                <w:color w:val="000000"/>
                <w:szCs w:val="21"/>
              </w:rPr>
              <w:t>地址：</w:t>
            </w:r>
          </w:p>
        </w:tc>
        <w:tc>
          <w:tcPr>
            <w:tcW w:w="4159" w:type="dxa"/>
            <w:gridSpan w:val="5"/>
            <w:vAlign w:val="center"/>
          </w:tcPr>
          <w:p>
            <w:pPr>
              <w:spacing w:line="280" w:lineRule="exact"/>
              <w:rPr>
                <w:color w:val="000000"/>
                <w:sz w:val="18"/>
                <w:szCs w:val="18"/>
              </w:rPr>
            </w:pPr>
            <w:r>
              <w:rPr>
                <w:rFonts w:hint="eastAsia"/>
                <w:color w:val="000000"/>
                <w:sz w:val="18"/>
                <w:szCs w:val="18"/>
              </w:rPr>
              <w:t xml:space="preserve"> </w:t>
            </w:r>
          </w:p>
        </w:tc>
        <w:tc>
          <w:tcPr>
            <w:tcW w:w="776" w:type="dxa"/>
            <w:vAlign w:val="center"/>
          </w:tcPr>
          <w:p>
            <w:pPr>
              <w:spacing w:line="280" w:lineRule="exact"/>
              <w:rPr>
                <w:color w:val="000000"/>
                <w:szCs w:val="21"/>
              </w:rPr>
            </w:pPr>
            <w:r>
              <w:rPr>
                <w:rFonts w:hint="eastAsia" w:ascii="宋体" w:hAnsi="宋体"/>
                <w:color w:val="000000"/>
                <w:szCs w:val="21"/>
              </w:rPr>
              <w:t>地址：</w:t>
            </w:r>
          </w:p>
        </w:tc>
        <w:tc>
          <w:tcPr>
            <w:tcW w:w="4156" w:type="dxa"/>
            <w:gridSpan w:val="5"/>
            <w:vAlign w:val="center"/>
          </w:tcPr>
          <w:p>
            <w:pPr>
              <w:spacing w:line="280" w:lineRule="exact"/>
              <w:rPr>
                <w:color w:val="000000"/>
                <w:sz w:val="18"/>
                <w:szCs w:val="18"/>
              </w:rPr>
            </w:pPr>
          </w:p>
        </w:tc>
      </w:tr>
      <w:tr>
        <w:tblPrEx>
          <w:tblCellMar>
            <w:top w:w="0" w:type="dxa"/>
            <w:left w:w="108" w:type="dxa"/>
            <w:bottom w:w="0" w:type="dxa"/>
            <w:right w:w="108" w:type="dxa"/>
          </w:tblCellMar>
        </w:tblPrEx>
        <w:trPr>
          <w:trHeight w:val="295" w:hRule="atLeast"/>
          <w:jc w:val="center"/>
        </w:trPr>
        <w:tc>
          <w:tcPr>
            <w:tcW w:w="1164" w:type="dxa"/>
            <w:gridSpan w:val="3"/>
            <w:vAlign w:val="center"/>
          </w:tcPr>
          <w:p>
            <w:pPr>
              <w:spacing w:line="280" w:lineRule="exact"/>
              <w:rPr>
                <w:color w:val="000000"/>
                <w:szCs w:val="21"/>
              </w:rPr>
            </w:pPr>
            <w:r>
              <w:rPr>
                <w:rFonts w:hint="eastAsia" w:ascii="宋体" w:hAnsi="宋体"/>
                <w:color w:val="000000"/>
                <w:szCs w:val="21"/>
              </w:rPr>
              <w:t>邮政编码：</w:t>
            </w:r>
          </w:p>
        </w:tc>
        <w:tc>
          <w:tcPr>
            <w:tcW w:w="3772" w:type="dxa"/>
            <w:gridSpan w:val="3"/>
            <w:vAlign w:val="center"/>
          </w:tcPr>
          <w:p>
            <w:pPr>
              <w:spacing w:line="280" w:lineRule="exact"/>
              <w:rPr>
                <w:color w:val="000000"/>
                <w:szCs w:val="21"/>
              </w:rPr>
            </w:pPr>
          </w:p>
        </w:tc>
        <w:tc>
          <w:tcPr>
            <w:tcW w:w="1161" w:type="dxa"/>
            <w:gridSpan w:val="3"/>
            <w:vAlign w:val="center"/>
          </w:tcPr>
          <w:p>
            <w:pPr>
              <w:spacing w:line="280" w:lineRule="exact"/>
              <w:rPr>
                <w:color w:val="000000"/>
                <w:szCs w:val="21"/>
              </w:rPr>
            </w:pPr>
            <w:r>
              <w:rPr>
                <w:rFonts w:hint="eastAsia" w:ascii="宋体" w:hAnsi="宋体"/>
                <w:color w:val="000000"/>
                <w:szCs w:val="21"/>
              </w:rPr>
              <w:t>邮政编码：</w:t>
            </w:r>
          </w:p>
        </w:tc>
        <w:tc>
          <w:tcPr>
            <w:tcW w:w="3771"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trHeight w:val="280" w:hRule="atLeast"/>
          <w:jc w:val="center"/>
        </w:trPr>
        <w:tc>
          <w:tcPr>
            <w:tcW w:w="2518" w:type="dxa"/>
            <w:gridSpan w:val="5"/>
            <w:vAlign w:val="center"/>
          </w:tcPr>
          <w:p>
            <w:pPr>
              <w:spacing w:line="280" w:lineRule="exact"/>
              <w:rPr>
                <w:color w:val="000000"/>
                <w:szCs w:val="21"/>
              </w:rPr>
            </w:pPr>
            <w:r>
              <w:rPr>
                <w:rFonts w:hint="eastAsia" w:ascii="宋体" w:hAnsi="宋体"/>
                <w:color w:val="000000"/>
                <w:szCs w:val="21"/>
              </w:rPr>
              <w:t>法定代表人或委托代理人：</w:t>
            </w:r>
          </w:p>
        </w:tc>
        <w:tc>
          <w:tcPr>
            <w:tcW w:w="2417" w:type="dxa"/>
            <w:vAlign w:val="center"/>
          </w:tcPr>
          <w:p>
            <w:pPr>
              <w:spacing w:line="280" w:lineRule="exact"/>
              <w:rPr>
                <w:color w:val="000000"/>
                <w:szCs w:val="21"/>
              </w:rPr>
            </w:pPr>
          </w:p>
        </w:tc>
        <w:tc>
          <w:tcPr>
            <w:tcW w:w="2517" w:type="dxa"/>
            <w:gridSpan w:val="5"/>
            <w:vAlign w:val="center"/>
          </w:tcPr>
          <w:p>
            <w:pPr>
              <w:spacing w:line="280" w:lineRule="exact"/>
              <w:rPr>
                <w:color w:val="000000"/>
                <w:szCs w:val="21"/>
              </w:rPr>
            </w:pPr>
            <w:r>
              <w:rPr>
                <w:rFonts w:hint="eastAsia" w:ascii="宋体" w:hAnsi="宋体"/>
                <w:color w:val="000000"/>
                <w:szCs w:val="21"/>
              </w:rPr>
              <w:t>法定代表人或委托代理人：</w:t>
            </w:r>
          </w:p>
        </w:tc>
        <w:tc>
          <w:tcPr>
            <w:tcW w:w="2414" w:type="dxa"/>
            <w:vAlign w:val="center"/>
          </w:tcPr>
          <w:p>
            <w:pPr>
              <w:spacing w:line="280" w:lineRule="exact"/>
              <w:rPr>
                <w:color w:val="000000"/>
                <w:szCs w:val="21"/>
              </w:rPr>
            </w:pPr>
          </w:p>
        </w:tc>
      </w:tr>
      <w:tr>
        <w:tblPrEx>
          <w:tblCellMar>
            <w:top w:w="0" w:type="dxa"/>
            <w:left w:w="108" w:type="dxa"/>
            <w:bottom w:w="0" w:type="dxa"/>
            <w:right w:w="108" w:type="dxa"/>
          </w:tblCellMar>
        </w:tblPrEx>
        <w:trPr>
          <w:trHeight w:val="295" w:hRule="atLeast"/>
          <w:jc w:val="center"/>
        </w:trPr>
        <w:tc>
          <w:tcPr>
            <w:tcW w:w="968" w:type="dxa"/>
            <w:gridSpan w:val="2"/>
            <w:vAlign w:val="center"/>
          </w:tcPr>
          <w:p>
            <w:pPr>
              <w:spacing w:line="280" w:lineRule="exact"/>
              <w:rPr>
                <w:color w:val="000000"/>
                <w:szCs w:val="21"/>
              </w:rPr>
            </w:pPr>
            <w:r>
              <w:rPr>
                <w:rFonts w:hint="eastAsia" w:ascii="宋体" w:hAnsi="宋体"/>
                <w:color w:val="000000"/>
                <w:szCs w:val="21"/>
              </w:rPr>
              <w:t>经办人：</w:t>
            </w:r>
          </w:p>
        </w:tc>
        <w:tc>
          <w:tcPr>
            <w:tcW w:w="3968" w:type="dxa"/>
            <w:gridSpan w:val="4"/>
            <w:vAlign w:val="center"/>
          </w:tcPr>
          <w:p>
            <w:pPr>
              <w:spacing w:line="280" w:lineRule="exact"/>
              <w:rPr>
                <w:color w:val="000000"/>
                <w:szCs w:val="21"/>
              </w:rPr>
            </w:pPr>
          </w:p>
        </w:tc>
        <w:tc>
          <w:tcPr>
            <w:tcW w:w="969" w:type="dxa"/>
            <w:gridSpan w:val="2"/>
            <w:vAlign w:val="center"/>
          </w:tcPr>
          <w:p>
            <w:pPr>
              <w:spacing w:line="280" w:lineRule="exact"/>
              <w:rPr>
                <w:color w:val="000000"/>
                <w:szCs w:val="21"/>
              </w:rPr>
            </w:pPr>
            <w:r>
              <w:rPr>
                <w:rFonts w:hint="eastAsia" w:ascii="宋体" w:hAnsi="宋体"/>
                <w:color w:val="000000"/>
                <w:szCs w:val="21"/>
              </w:rPr>
              <w:t>经办人：</w:t>
            </w:r>
          </w:p>
        </w:tc>
        <w:tc>
          <w:tcPr>
            <w:tcW w:w="3962" w:type="dxa"/>
            <w:gridSpan w:val="4"/>
            <w:vAlign w:val="center"/>
          </w:tcPr>
          <w:p>
            <w:pPr>
              <w:spacing w:line="280" w:lineRule="exact"/>
              <w:rPr>
                <w:color w:val="000000"/>
                <w:szCs w:val="21"/>
              </w:rPr>
            </w:pPr>
          </w:p>
        </w:tc>
      </w:tr>
      <w:tr>
        <w:tblPrEx>
          <w:tblCellMar>
            <w:top w:w="0" w:type="dxa"/>
            <w:left w:w="108" w:type="dxa"/>
            <w:bottom w:w="0" w:type="dxa"/>
            <w:right w:w="108" w:type="dxa"/>
          </w:tblCellMar>
        </w:tblPrEx>
        <w:trPr>
          <w:trHeight w:val="115" w:hRule="atLeast"/>
          <w:jc w:val="center"/>
        </w:trPr>
        <w:tc>
          <w:tcPr>
            <w:tcW w:w="777" w:type="dxa"/>
            <w:vAlign w:val="center"/>
          </w:tcPr>
          <w:p>
            <w:pPr>
              <w:spacing w:line="280" w:lineRule="exact"/>
              <w:rPr>
                <w:color w:val="000000"/>
                <w:szCs w:val="21"/>
              </w:rPr>
            </w:pPr>
            <w:r>
              <w:rPr>
                <w:rFonts w:hint="eastAsia" w:ascii="宋体" w:hAnsi="宋体"/>
                <w:color w:val="000000"/>
                <w:szCs w:val="21"/>
              </w:rPr>
              <w:t>电话：</w:t>
            </w:r>
          </w:p>
        </w:tc>
        <w:tc>
          <w:tcPr>
            <w:tcW w:w="4159" w:type="dxa"/>
            <w:gridSpan w:val="5"/>
            <w:vAlign w:val="center"/>
          </w:tcPr>
          <w:p>
            <w:pPr>
              <w:spacing w:line="280" w:lineRule="exact"/>
              <w:rPr>
                <w:color w:val="000000"/>
                <w:szCs w:val="21"/>
              </w:rPr>
            </w:pPr>
          </w:p>
        </w:tc>
        <w:tc>
          <w:tcPr>
            <w:tcW w:w="776" w:type="dxa"/>
            <w:vAlign w:val="center"/>
          </w:tcPr>
          <w:p>
            <w:pPr>
              <w:spacing w:line="280" w:lineRule="exact"/>
              <w:rPr>
                <w:color w:val="000000"/>
                <w:szCs w:val="21"/>
              </w:rPr>
            </w:pPr>
            <w:r>
              <w:rPr>
                <w:rFonts w:hint="eastAsia" w:ascii="宋体" w:hAnsi="宋体"/>
                <w:color w:val="000000"/>
                <w:szCs w:val="21"/>
              </w:rPr>
              <w:t>电话：</w:t>
            </w:r>
          </w:p>
        </w:tc>
        <w:tc>
          <w:tcPr>
            <w:tcW w:w="4156"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95" w:hRule="atLeast"/>
          <w:jc w:val="center"/>
        </w:trPr>
        <w:tc>
          <w:tcPr>
            <w:tcW w:w="777" w:type="dxa"/>
            <w:vAlign w:val="center"/>
          </w:tcPr>
          <w:p>
            <w:pPr>
              <w:spacing w:line="280" w:lineRule="exact"/>
              <w:rPr>
                <w:color w:val="000000"/>
                <w:szCs w:val="21"/>
              </w:rPr>
            </w:pPr>
            <w:r>
              <w:rPr>
                <w:rFonts w:hint="eastAsia" w:ascii="宋体" w:hAnsi="宋体"/>
                <w:color w:val="000000"/>
                <w:szCs w:val="21"/>
              </w:rPr>
              <w:t>传真：</w:t>
            </w:r>
          </w:p>
        </w:tc>
        <w:tc>
          <w:tcPr>
            <w:tcW w:w="4159" w:type="dxa"/>
            <w:gridSpan w:val="5"/>
            <w:vAlign w:val="center"/>
          </w:tcPr>
          <w:p>
            <w:pPr>
              <w:spacing w:line="280" w:lineRule="exact"/>
              <w:rPr>
                <w:color w:val="000000"/>
                <w:szCs w:val="21"/>
              </w:rPr>
            </w:pPr>
          </w:p>
        </w:tc>
        <w:tc>
          <w:tcPr>
            <w:tcW w:w="776" w:type="dxa"/>
            <w:vAlign w:val="center"/>
          </w:tcPr>
          <w:p>
            <w:pPr>
              <w:spacing w:line="280" w:lineRule="exact"/>
              <w:rPr>
                <w:color w:val="000000"/>
                <w:szCs w:val="21"/>
              </w:rPr>
            </w:pPr>
            <w:r>
              <w:rPr>
                <w:rFonts w:hint="eastAsia" w:ascii="宋体" w:hAnsi="宋体"/>
                <w:color w:val="000000"/>
                <w:szCs w:val="21"/>
              </w:rPr>
              <w:t>传真：</w:t>
            </w:r>
          </w:p>
        </w:tc>
        <w:tc>
          <w:tcPr>
            <w:tcW w:w="4156"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95" w:hRule="atLeast"/>
          <w:jc w:val="center"/>
        </w:trPr>
        <w:tc>
          <w:tcPr>
            <w:tcW w:w="1164" w:type="dxa"/>
            <w:gridSpan w:val="3"/>
            <w:vAlign w:val="center"/>
          </w:tcPr>
          <w:p>
            <w:pPr>
              <w:spacing w:line="280" w:lineRule="exact"/>
              <w:rPr>
                <w:color w:val="000000"/>
                <w:szCs w:val="21"/>
              </w:rPr>
            </w:pPr>
            <w:r>
              <w:rPr>
                <w:rFonts w:hint="eastAsia" w:ascii="宋体" w:hAnsi="宋体"/>
                <w:color w:val="000000"/>
                <w:szCs w:val="21"/>
              </w:rPr>
              <w:t>电子邮箱：</w:t>
            </w:r>
          </w:p>
        </w:tc>
        <w:tc>
          <w:tcPr>
            <w:tcW w:w="3772" w:type="dxa"/>
            <w:gridSpan w:val="3"/>
            <w:vAlign w:val="center"/>
          </w:tcPr>
          <w:p>
            <w:pPr>
              <w:spacing w:line="280" w:lineRule="exact"/>
              <w:rPr>
                <w:color w:val="000000"/>
                <w:szCs w:val="21"/>
              </w:rPr>
            </w:pPr>
          </w:p>
        </w:tc>
        <w:tc>
          <w:tcPr>
            <w:tcW w:w="1161" w:type="dxa"/>
            <w:gridSpan w:val="3"/>
            <w:vAlign w:val="center"/>
          </w:tcPr>
          <w:p>
            <w:pPr>
              <w:spacing w:line="280" w:lineRule="exact"/>
              <w:rPr>
                <w:color w:val="000000"/>
                <w:szCs w:val="21"/>
              </w:rPr>
            </w:pPr>
            <w:r>
              <w:rPr>
                <w:rFonts w:hint="eastAsia" w:ascii="宋体" w:hAnsi="宋体"/>
                <w:color w:val="000000"/>
                <w:szCs w:val="21"/>
              </w:rPr>
              <w:t>电子邮箱：</w:t>
            </w:r>
          </w:p>
        </w:tc>
        <w:tc>
          <w:tcPr>
            <w:tcW w:w="3771" w:type="dxa"/>
            <w:gridSpan w:val="3"/>
            <w:vAlign w:val="center"/>
          </w:tcPr>
          <w:p>
            <w:pPr>
              <w:spacing w:line="280" w:lineRule="exact"/>
              <w:rPr>
                <w:color w:val="000000"/>
                <w:szCs w:val="21"/>
              </w:rPr>
            </w:pPr>
            <w:r>
              <w:rPr>
                <w:rFonts w:hint="eastAsia" w:ascii="宋体" w:hAnsi="宋体"/>
                <w:color w:val="000000"/>
                <w:sz w:val="24"/>
              </w:rPr>
              <w:t>wzcgb@fjpec.com.cn</w:t>
            </w:r>
          </w:p>
        </w:tc>
      </w:tr>
      <w:tr>
        <w:tblPrEx>
          <w:tblCellMar>
            <w:top w:w="0" w:type="dxa"/>
            <w:left w:w="108" w:type="dxa"/>
            <w:bottom w:w="0" w:type="dxa"/>
            <w:right w:w="108" w:type="dxa"/>
          </w:tblCellMar>
        </w:tblPrEx>
        <w:trPr>
          <w:trHeight w:val="280" w:hRule="atLeast"/>
          <w:jc w:val="center"/>
        </w:trPr>
        <w:tc>
          <w:tcPr>
            <w:tcW w:w="1164" w:type="dxa"/>
            <w:gridSpan w:val="3"/>
            <w:vAlign w:val="center"/>
          </w:tcPr>
          <w:p>
            <w:pPr>
              <w:spacing w:line="280" w:lineRule="exact"/>
              <w:rPr>
                <w:color w:val="000000"/>
                <w:szCs w:val="21"/>
              </w:rPr>
            </w:pPr>
            <w:r>
              <w:rPr>
                <w:rFonts w:hint="eastAsia" w:ascii="宋体" w:hAnsi="宋体"/>
                <w:color w:val="000000"/>
                <w:szCs w:val="21"/>
              </w:rPr>
              <w:t>开户银行：</w:t>
            </w:r>
          </w:p>
        </w:tc>
        <w:tc>
          <w:tcPr>
            <w:tcW w:w="3772" w:type="dxa"/>
            <w:gridSpan w:val="3"/>
            <w:vAlign w:val="center"/>
          </w:tcPr>
          <w:p>
            <w:pPr>
              <w:spacing w:line="280" w:lineRule="exact"/>
              <w:rPr>
                <w:color w:val="000000"/>
                <w:szCs w:val="21"/>
              </w:rPr>
            </w:pPr>
          </w:p>
        </w:tc>
        <w:tc>
          <w:tcPr>
            <w:tcW w:w="1161" w:type="dxa"/>
            <w:gridSpan w:val="3"/>
            <w:vAlign w:val="center"/>
          </w:tcPr>
          <w:p>
            <w:pPr>
              <w:spacing w:line="280" w:lineRule="exact"/>
              <w:rPr>
                <w:color w:val="000000"/>
                <w:szCs w:val="21"/>
              </w:rPr>
            </w:pPr>
            <w:r>
              <w:rPr>
                <w:rFonts w:hint="eastAsia" w:ascii="宋体" w:hAnsi="宋体"/>
                <w:color w:val="000000"/>
                <w:szCs w:val="21"/>
              </w:rPr>
              <w:t>开户银行：</w:t>
            </w:r>
          </w:p>
        </w:tc>
        <w:tc>
          <w:tcPr>
            <w:tcW w:w="3771"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trHeight w:val="295" w:hRule="atLeast"/>
          <w:jc w:val="center"/>
        </w:trPr>
        <w:tc>
          <w:tcPr>
            <w:tcW w:w="777" w:type="dxa"/>
            <w:vAlign w:val="center"/>
          </w:tcPr>
          <w:p>
            <w:pPr>
              <w:spacing w:line="280" w:lineRule="exact"/>
              <w:rPr>
                <w:color w:val="000000"/>
                <w:szCs w:val="21"/>
              </w:rPr>
            </w:pPr>
            <w:r>
              <w:rPr>
                <w:rFonts w:hint="eastAsia" w:ascii="宋体" w:hAnsi="宋体"/>
                <w:color w:val="000000"/>
                <w:szCs w:val="21"/>
              </w:rPr>
              <w:t>帐号：</w:t>
            </w:r>
          </w:p>
        </w:tc>
        <w:tc>
          <w:tcPr>
            <w:tcW w:w="4159" w:type="dxa"/>
            <w:gridSpan w:val="5"/>
            <w:vAlign w:val="center"/>
          </w:tcPr>
          <w:p>
            <w:pPr>
              <w:spacing w:line="280" w:lineRule="exact"/>
              <w:rPr>
                <w:color w:val="000000"/>
                <w:szCs w:val="21"/>
              </w:rPr>
            </w:pPr>
          </w:p>
        </w:tc>
        <w:tc>
          <w:tcPr>
            <w:tcW w:w="776" w:type="dxa"/>
            <w:vAlign w:val="center"/>
          </w:tcPr>
          <w:p>
            <w:pPr>
              <w:spacing w:line="280" w:lineRule="exact"/>
              <w:rPr>
                <w:color w:val="000000"/>
                <w:szCs w:val="21"/>
              </w:rPr>
            </w:pPr>
            <w:r>
              <w:rPr>
                <w:rFonts w:hint="eastAsia" w:ascii="宋体" w:hAnsi="宋体"/>
                <w:color w:val="000000"/>
                <w:szCs w:val="21"/>
              </w:rPr>
              <w:t>帐号：</w:t>
            </w:r>
          </w:p>
        </w:tc>
        <w:tc>
          <w:tcPr>
            <w:tcW w:w="4156"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trHeight w:val="295" w:hRule="atLeast"/>
          <w:jc w:val="center"/>
        </w:trPr>
        <w:tc>
          <w:tcPr>
            <w:tcW w:w="777" w:type="dxa"/>
            <w:vAlign w:val="center"/>
          </w:tcPr>
          <w:p>
            <w:pPr>
              <w:spacing w:line="280" w:lineRule="exact"/>
              <w:rPr>
                <w:color w:val="000000"/>
                <w:szCs w:val="21"/>
              </w:rPr>
            </w:pPr>
            <w:r>
              <w:rPr>
                <w:rFonts w:hint="eastAsia" w:ascii="宋体" w:hAnsi="宋体"/>
                <w:color w:val="000000"/>
                <w:szCs w:val="21"/>
              </w:rPr>
              <w:t>税号：</w:t>
            </w:r>
          </w:p>
        </w:tc>
        <w:tc>
          <w:tcPr>
            <w:tcW w:w="4159" w:type="dxa"/>
            <w:gridSpan w:val="5"/>
            <w:vAlign w:val="center"/>
          </w:tcPr>
          <w:p>
            <w:pPr>
              <w:spacing w:line="280" w:lineRule="exact"/>
              <w:rPr>
                <w:color w:val="000000"/>
                <w:szCs w:val="21"/>
              </w:rPr>
            </w:pPr>
          </w:p>
        </w:tc>
        <w:tc>
          <w:tcPr>
            <w:tcW w:w="776" w:type="dxa"/>
            <w:vAlign w:val="center"/>
          </w:tcPr>
          <w:p>
            <w:pPr>
              <w:spacing w:line="280" w:lineRule="exact"/>
              <w:rPr>
                <w:color w:val="000000"/>
                <w:szCs w:val="21"/>
              </w:rPr>
            </w:pPr>
            <w:r>
              <w:rPr>
                <w:rFonts w:hint="eastAsia" w:ascii="宋体" w:hAnsi="宋体"/>
                <w:color w:val="000000"/>
                <w:szCs w:val="21"/>
              </w:rPr>
              <w:t>税号：</w:t>
            </w:r>
          </w:p>
        </w:tc>
        <w:tc>
          <w:tcPr>
            <w:tcW w:w="4156" w:type="dxa"/>
            <w:gridSpan w:val="5"/>
            <w:vAlign w:val="center"/>
          </w:tcPr>
          <w:p>
            <w:pPr>
              <w:spacing w:line="280" w:lineRule="exact"/>
              <w:rPr>
                <w:color w:val="000000"/>
                <w:szCs w:val="21"/>
              </w:rPr>
            </w:pPr>
          </w:p>
        </w:tc>
      </w:tr>
    </w:tbl>
    <w:p>
      <w:pPr>
        <w:spacing w:line="280" w:lineRule="exact"/>
        <w:rPr>
          <w:rFonts w:ascii="宋体" w:hAnsi="宋体"/>
          <w:color w:val="000000"/>
          <w:szCs w:val="21"/>
        </w:rPr>
      </w:pPr>
    </w:p>
    <w:p>
      <w:pPr>
        <w:spacing w:line="220" w:lineRule="exact"/>
        <w:rPr>
          <w:rFonts w:ascii="宋体" w:hAnsi="宋体"/>
          <w:b/>
          <w:color w:val="000000"/>
          <w:szCs w:val="21"/>
          <w:u w:val="single"/>
        </w:rPr>
      </w:pPr>
    </w:p>
    <w:p>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pPr>
        <w:spacing w:line="300" w:lineRule="exact"/>
        <w:rPr>
          <w:rFonts w:ascii="宋体" w:hAnsi="宋体"/>
          <w:b/>
          <w:color w:val="000000"/>
          <w:szCs w:val="21"/>
        </w:rPr>
      </w:pPr>
      <w:r>
        <w:rPr>
          <w:rFonts w:hint="eastAsia" w:ascii="宋体" w:hAnsi="宋体"/>
          <w:b/>
          <w:color w:val="000000"/>
          <w:szCs w:val="21"/>
        </w:rPr>
        <w:t>第二条 产品包装标准</w:t>
      </w:r>
    </w:p>
    <w:p>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pPr>
        <w:spacing w:line="300" w:lineRule="exact"/>
        <w:rPr>
          <w:rFonts w:ascii="宋体" w:hAnsi="宋体"/>
          <w:b/>
          <w:color w:val="000000"/>
          <w:szCs w:val="21"/>
        </w:rPr>
      </w:pPr>
      <w:r>
        <w:rPr>
          <w:rFonts w:hint="eastAsia" w:ascii="宋体" w:hAnsi="宋体"/>
          <w:b/>
          <w:color w:val="000000"/>
          <w:szCs w:val="21"/>
        </w:rPr>
        <w:t>第四条 货物所有权、风险的转移</w:t>
      </w:r>
    </w:p>
    <w:p>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   </w:t>
      </w:r>
      <w:r>
        <w:rPr>
          <w:rFonts w:hint="eastAsia" w:ascii="宋体" w:hAnsi="宋体"/>
          <w:color w:val="000000"/>
          <w:szCs w:val="21"/>
        </w:rPr>
        <w:t xml:space="preserve">，再以汽车运输方式运至需方指定的单位或仓库。         </w:t>
      </w:r>
    </w:p>
    <w:p>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10  </w:t>
      </w:r>
      <w:r>
        <w:rPr>
          <w:rFonts w:hint="eastAsia" w:ascii="宋体" w:hAnsi="宋体"/>
          <w:color w:val="000000"/>
          <w:szCs w:val="21"/>
        </w:rPr>
        <w:t>天内向供方提出异议。</w:t>
      </w:r>
    </w:p>
    <w:p>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3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ascii="宋体" w:hAnsi="宋体"/>
          <w:b/>
          <w:color w:val="000000"/>
          <w:szCs w:val="21"/>
        </w:rPr>
      </w:pPr>
      <w:r>
        <w:rPr>
          <w:rFonts w:hint="eastAsia" w:ascii="宋体" w:hAnsi="宋体"/>
          <w:b/>
          <w:color w:val="000000"/>
          <w:szCs w:val="21"/>
        </w:rPr>
        <w:t>第七条  保密条款</w:t>
      </w:r>
    </w:p>
    <w:p>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b/>
          <w:color w:val="000000"/>
          <w:szCs w:val="21"/>
        </w:rPr>
        <w:t>第九条  不可抗力</w:t>
      </w:r>
    </w:p>
    <w:p>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pPr>
        <w:spacing w:line="300" w:lineRule="exact"/>
        <w:rPr>
          <w:rFonts w:ascii="宋体" w:hAnsi="宋体"/>
          <w:b/>
          <w:color w:val="000000"/>
          <w:szCs w:val="21"/>
        </w:rPr>
      </w:pPr>
      <w:r>
        <w:rPr>
          <w:rFonts w:hint="eastAsia" w:ascii="宋体" w:hAnsi="宋体"/>
          <w:b/>
          <w:color w:val="000000"/>
          <w:szCs w:val="21"/>
        </w:rPr>
        <w:t>第十一条 违约责任</w:t>
      </w:r>
    </w:p>
    <w:p>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叁    </w:t>
      </w:r>
      <w:r>
        <w:rPr>
          <w:rFonts w:hint="eastAsia" w:ascii="宋体" w:hAnsi="宋体"/>
          <w:color w:val="000000"/>
          <w:szCs w:val="21"/>
        </w:rPr>
        <w:t>日的或供方逾期交货次数累计超过</w:t>
      </w:r>
      <w:r>
        <w:rPr>
          <w:rFonts w:hint="eastAsia" w:ascii="宋体" w:hAnsi="宋体"/>
          <w:color w:val="000000"/>
          <w:szCs w:val="21"/>
          <w:u w:val="single"/>
        </w:rPr>
        <w:t xml:space="preserve"> 叁   </w:t>
      </w:r>
      <w:r>
        <w:rPr>
          <w:rFonts w:hint="eastAsia" w:ascii="宋体" w:hAnsi="宋体"/>
          <w:color w:val="000000"/>
          <w:szCs w:val="21"/>
        </w:rPr>
        <w:t>笔订单，除应向需方支付违约金外，需方还有权解除逾期交货的单笔订单及该份合同，并要求供方赔偿因逾期交货而造成的损失。</w:t>
      </w:r>
    </w:p>
    <w:p>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贰   </w:t>
      </w:r>
      <w:r>
        <w:rPr>
          <w:rFonts w:hint="eastAsia" w:ascii="宋体" w:hAnsi="宋体"/>
          <w:color w:val="000000"/>
          <w:szCs w:val="21"/>
        </w:rPr>
        <w:t>笔订单，需方有权解除合同。</w:t>
      </w:r>
    </w:p>
    <w:p>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ascii="宋体" w:hAnsi="宋体"/>
          <w:b/>
          <w:color w:val="000000"/>
          <w:szCs w:val="21"/>
        </w:rPr>
      </w:pPr>
      <w:r>
        <w:rPr>
          <w:rFonts w:hint="eastAsia" w:ascii="宋体" w:hAnsi="宋体"/>
          <w:b/>
          <w:color w:val="000000"/>
          <w:szCs w:val="21"/>
        </w:rPr>
        <w:t>第十三条 廉政条款</w:t>
      </w:r>
    </w:p>
    <w:p>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 0.1 ]%，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w:t>
      </w:r>
    </w:p>
    <w:p>
      <w:pPr>
        <w:spacing w:line="300" w:lineRule="exact"/>
        <w:ind w:firstLine="420" w:firstLineChars="200"/>
        <w:rPr>
          <w:rFonts w:ascii="宋体" w:hAnsi="宋体"/>
          <w:color w:val="000000"/>
          <w:szCs w:val="21"/>
        </w:rPr>
      </w:pPr>
      <w:r>
        <w:rPr>
          <w:rFonts w:hint="eastAsia" w:ascii="宋体" w:hAnsi="宋体"/>
          <w:color w:val="000000"/>
          <w:szCs w:val="21"/>
        </w:rPr>
        <w:t>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color w:val="000000"/>
          <w:szCs w:val="21"/>
        </w:rPr>
      </w:pPr>
      <w:r>
        <w:rPr>
          <w:rFonts w:hint="eastAsia" w:ascii="宋体" w:hAnsi="宋体"/>
          <w:color w:val="000000"/>
          <w:szCs w:val="21"/>
        </w:rPr>
        <w:t>5.其他</w:t>
      </w:r>
      <w:r>
        <w:rPr>
          <w:rFonts w:hint="eastAsia"/>
          <w:color w:val="000000"/>
          <w:szCs w:val="21"/>
        </w:rPr>
        <w:t xml:space="preserve">约定事项： </w:t>
      </w:r>
    </w:p>
    <w:p>
      <w:pPr>
        <w:ind w:firstLine="600" w:firstLineChars="250"/>
        <w:rPr>
          <w:rFonts w:ascii="宋体" w:hAnsi="宋体"/>
          <w:color w:val="000000"/>
          <w:sz w:val="24"/>
        </w:rPr>
      </w:pPr>
      <w:r>
        <w:rPr>
          <w:rFonts w:hint="eastAsia" w:ascii="宋体" w:hAnsi="宋体"/>
          <w:color w:val="000000"/>
          <w:sz w:val="24"/>
        </w:rPr>
        <w:t>（1）为规范供需双方业务交流，双方约定通过以下指定邮箱进行业务联系</w:t>
      </w:r>
    </w:p>
    <w:p>
      <w:pPr>
        <w:ind w:firstLine="720" w:firstLineChars="300"/>
        <w:rPr>
          <w:rFonts w:ascii="宋体" w:hAnsi="宋体"/>
          <w:color w:val="000000"/>
          <w:sz w:val="24"/>
        </w:rPr>
      </w:pPr>
      <w:r>
        <w:rPr>
          <w:rFonts w:hint="eastAsia" w:ascii="宋体" w:hAnsi="宋体"/>
          <w:color w:val="000000"/>
          <w:sz w:val="24"/>
        </w:rPr>
        <w:t xml:space="preserve">供方：                   需方：wzcgb@fjpec.com.cn </w:t>
      </w:r>
    </w:p>
    <w:p>
      <w:pPr>
        <w:snapToGrid w:val="0"/>
        <w:ind w:firstLine="600" w:firstLineChars="250"/>
        <w:rPr>
          <w:rFonts w:ascii="宋体" w:hAnsi="宋体"/>
          <w:color w:val="000000"/>
          <w:sz w:val="24"/>
        </w:rPr>
      </w:pPr>
      <w:r>
        <w:rPr>
          <w:rFonts w:hint="eastAsia" w:ascii="宋体" w:hAnsi="宋体"/>
          <w:color w:val="000000"/>
          <w:sz w:val="24"/>
        </w:rPr>
        <w:t>（2）含税单价含13%增值税，含送到工厂运费，一票结算。</w:t>
      </w:r>
    </w:p>
    <w:p>
      <w:pPr>
        <w:rPr>
          <w:rFonts w:hint="eastAsia" w:eastAsia="宋体" w:asciiTheme="minorEastAsia" w:hAnsiTheme="minorEastAsia"/>
          <w:sz w:val="28"/>
          <w:szCs w:val="28"/>
          <w:lang w:eastAsia="zh-CN"/>
        </w:rPr>
      </w:pPr>
      <w:r>
        <w:rPr>
          <w:rFonts w:hint="eastAsia" w:ascii="宋体" w:hAnsi="宋体"/>
          <w:color w:val="000000"/>
          <w:sz w:val="24"/>
        </w:rPr>
        <w:t xml:space="preserve">     （3）指标要求。质量验收标准：GB/T 536-2017 液体无水氨，一等品，外观：无色透明液体；氨含量≥99.8%；残留物含量≤0.2%；</w:t>
      </w:r>
      <w:r>
        <w:rPr>
          <w:rFonts w:hint="eastAsia" w:ascii="宋体" w:hAnsi="宋体"/>
          <w:color w:val="000000"/>
          <w:sz w:val="24"/>
          <w:lang w:eastAsia="zh-CN"/>
        </w:rPr>
        <w:t>（</w:t>
      </w:r>
      <w:r>
        <w:rPr>
          <w:rFonts w:hint="eastAsia" w:ascii="宋体" w:hAnsi="宋体"/>
          <w:color w:val="000000"/>
          <w:sz w:val="24"/>
          <w:lang w:val="en-US" w:eastAsia="zh-CN"/>
        </w:rPr>
        <w:t>详见附件质量规范</w:t>
      </w:r>
      <w:r>
        <w:rPr>
          <w:rFonts w:hint="eastAsia" w:ascii="宋体" w:hAnsi="宋体"/>
          <w:color w:val="000000"/>
          <w:sz w:val="24"/>
          <w:lang w:eastAsia="zh-CN"/>
        </w:rPr>
        <w:t>）</w:t>
      </w:r>
    </w:p>
    <w:p>
      <w:pPr>
        <w:ind w:left="630" w:hanging="630" w:hangingChars="300"/>
        <w:rPr>
          <w:rFonts w:hint="eastAsia" w:ascii="宋体" w:hAnsi="宋体"/>
          <w:color w:val="000000"/>
          <w:sz w:val="24"/>
        </w:rPr>
      </w:pPr>
      <w:r>
        <w:rPr>
          <w:rFonts w:hint="eastAsia"/>
        </w:rPr>
        <w:t xml:space="preserve">  </w:t>
      </w:r>
      <w:r>
        <w:rPr>
          <w:rFonts w:hint="eastAsia" w:ascii="宋体" w:hAnsi="宋体"/>
          <w:color w:val="000000"/>
          <w:sz w:val="24"/>
        </w:rPr>
        <w:t xml:space="preserve">  （4）如供方出现合同第二部分第十一条违约情形的，需方有权扣除履约保证金，履约保证金不足时，供应商应及时补足。履约保证金</w:t>
      </w:r>
      <w:r>
        <w:rPr>
          <w:rFonts w:hint="eastAsia" w:ascii="宋体" w:hAnsi="宋体"/>
          <w:color w:val="000000"/>
          <w:sz w:val="24"/>
          <w:lang w:val="en-US" w:eastAsia="zh-CN"/>
        </w:rPr>
        <w:t>2.</w:t>
      </w:r>
      <w:r>
        <w:rPr>
          <w:rFonts w:hint="eastAsia" w:ascii="宋体" w:hAnsi="宋体"/>
          <w:color w:val="000000"/>
          <w:sz w:val="24"/>
        </w:rPr>
        <w:t>5万元在合同履行完毕后予以无息退还保证金本金。</w:t>
      </w:r>
    </w:p>
    <w:p>
      <w:pPr>
        <w:ind w:left="630" w:hanging="720" w:hangingChars="300"/>
        <w:jc w:val="left"/>
        <w:rPr>
          <w:rFonts w:hint="eastAsia" w:ascii="宋体" w:hAnsi="宋体"/>
          <w:color w:val="000000"/>
          <w:sz w:val="24"/>
          <w:lang w:val="en-US" w:eastAsia="zh-CN"/>
        </w:rPr>
      </w:pPr>
    </w:p>
    <w:p>
      <w:pPr>
        <w:ind w:left="630" w:hanging="720" w:hangingChars="300"/>
        <w:jc w:val="left"/>
        <w:rPr>
          <w:rFonts w:hint="eastAsia" w:ascii="宋体" w:hAnsi="宋体"/>
          <w:color w:val="000000"/>
          <w:sz w:val="24"/>
          <w:lang w:val="en-US" w:eastAsia="zh-CN"/>
        </w:rPr>
      </w:pPr>
      <w:r>
        <w:rPr>
          <w:rFonts w:hint="eastAsia" w:ascii="宋体" w:hAnsi="宋体"/>
          <w:color w:val="000000"/>
          <w:sz w:val="24"/>
          <w:lang w:val="en-US" w:eastAsia="zh-CN"/>
        </w:rPr>
        <w:t xml:space="preserve">附件  </w:t>
      </w:r>
    </w:p>
    <w:p>
      <w:pPr>
        <w:ind w:left="630" w:hanging="904" w:hangingChars="300"/>
        <w:jc w:val="center"/>
        <w:rPr>
          <w:rFonts w:hint="eastAsia" w:ascii="宋体" w:hAnsi="宋体"/>
          <w:b/>
          <w:bCs/>
          <w:color w:val="000000"/>
          <w:sz w:val="30"/>
          <w:szCs w:val="30"/>
          <w:lang w:val="en-US" w:eastAsia="zh-CN"/>
        </w:rPr>
      </w:pPr>
      <w:r>
        <w:rPr>
          <w:rFonts w:hint="eastAsia" w:ascii="宋体" w:hAnsi="宋体"/>
          <w:b/>
          <w:bCs/>
          <w:color w:val="000000"/>
          <w:sz w:val="30"/>
          <w:szCs w:val="30"/>
          <w:lang w:val="en-US" w:eastAsia="zh-CN"/>
        </w:rPr>
        <w:t>液氨质量规范</w:t>
      </w:r>
    </w:p>
    <w:p>
      <w:pPr>
        <w:ind w:left="630" w:hanging="720" w:hangingChars="300"/>
        <w:jc w:val="center"/>
        <w:rPr>
          <w:rFonts w:hint="default" w:ascii="宋体" w:hAnsi="宋体"/>
          <w:color w:val="000000"/>
          <w:sz w:val="24"/>
          <w:lang w:val="en-US" w:eastAsia="zh-CN"/>
        </w:rPr>
      </w:pPr>
      <w:r>
        <w:rPr>
          <w:rFonts w:hint="default" w:ascii="宋体" w:hAnsi="宋体"/>
          <w:color w:val="000000"/>
          <w:sz w:val="24"/>
          <w:lang w:val="en-US" w:eastAsia="zh-CN"/>
        </w:rPr>
        <w:drawing>
          <wp:inline distT="0" distB="0" distL="114300" distR="114300">
            <wp:extent cx="5269230" cy="2915285"/>
            <wp:effectExtent l="0" t="0" r="7620" b="18415"/>
            <wp:docPr id="2" name="图片 2" descr="液氨(槽车)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液氨(槽车)质量规范"/>
                    <pic:cNvPicPr>
                      <a:picLocks noChangeAspect="1"/>
                    </pic:cNvPicPr>
                  </pic:nvPicPr>
                  <pic:blipFill>
                    <a:blip r:embed="rId5"/>
                    <a:stretch>
                      <a:fillRect/>
                    </a:stretch>
                  </pic:blipFill>
                  <pic:spPr>
                    <a:xfrm>
                      <a:off x="0" y="0"/>
                      <a:ext cx="5269230" cy="2915285"/>
                    </a:xfrm>
                    <a:prstGeom prst="rect">
                      <a:avLst/>
                    </a:prstGeom>
                  </pic:spPr>
                </pic:pic>
              </a:graphicData>
            </a:graphic>
          </wp:inline>
        </w:drawing>
      </w:r>
    </w:p>
    <w:p>
      <w:pPr>
        <w:spacing w:line="220" w:lineRule="exact"/>
        <w:ind w:firstLine="360" w:firstLineChars="200"/>
        <w:rPr>
          <w:color w:val="000000"/>
          <w:sz w:val="18"/>
          <w:szCs w:val="18"/>
        </w:rPr>
      </w:pPr>
    </w:p>
    <w:p/>
    <w:p>
      <w:pPr>
        <w:spacing w:line="360" w:lineRule="auto"/>
        <w:jc w:val="center"/>
        <w:rPr>
          <w:b/>
          <w:sz w:val="44"/>
          <w:szCs w:val="7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t>11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93E"/>
    <w:rsid w:val="00036AD9"/>
    <w:rsid w:val="000442B1"/>
    <w:rsid w:val="000656EF"/>
    <w:rsid w:val="000754C9"/>
    <w:rsid w:val="00090ED4"/>
    <w:rsid w:val="0009264C"/>
    <w:rsid w:val="00092680"/>
    <w:rsid w:val="00093F6E"/>
    <w:rsid w:val="000A218A"/>
    <w:rsid w:val="000A24BB"/>
    <w:rsid w:val="000A6855"/>
    <w:rsid w:val="000C74A9"/>
    <w:rsid w:val="000D56F6"/>
    <w:rsid w:val="000E0A2D"/>
    <w:rsid w:val="000F5460"/>
    <w:rsid w:val="000F736E"/>
    <w:rsid w:val="00101CDF"/>
    <w:rsid w:val="00120905"/>
    <w:rsid w:val="00135D9F"/>
    <w:rsid w:val="00182331"/>
    <w:rsid w:val="0018516F"/>
    <w:rsid w:val="00192C72"/>
    <w:rsid w:val="001C0D58"/>
    <w:rsid w:val="001C7E3F"/>
    <w:rsid w:val="00211FD4"/>
    <w:rsid w:val="00222F26"/>
    <w:rsid w:val="002243D8"/>
    <w:rsid w:val="002347C0"/>
    <w:rsid w:val="002509CE"/>
    <w:rsid w:val="00255FEE"/>
    <w:rsid w:val="00263152"/>
    <w:rsid w:val="00265C37"/>
    <w:rsid w:val="002754F0"/>
    <w:rsid w:val="0028543A"/>
    <w:rsid w:val="0029379A"/>
    <w:rsid w:val="002B3B42"/>
    <w:rsid w:val="002D350C"/>
    <w:rsid w:val="002D4525"/>
    <w:rsid w:val="002F18BB"/>
    <w:rsid w:val="00313BE4"/>
    <w:rsid w:val="003171DE"/>
    <w:rsid w:val="00344929"/>
    <w:rsid w:val="00346315"/>
    <w:rsid w:val="00347FBD"/>
    <w:rsid w:val="00365E43"/>
    <w:rsid w:val="003F15BE"/>
    <w:rsid w:val="00404DA6"/>
    <w:rsid w:val="0042774F"/>
    <w:rsid w:val="00431B7C"/>
    <w:rsid w:val="00467E34"/>
    <w:rsid w:val="004818E8"/>
    <w:rsid w:val="004835C3"/>
    <w:rsid w:val="00491846"/>
    <w:rsid w:val="00494400"/>
    <w:rsid w:val="004D18AC"/>
    <w:rsid w:val="004E674A"/>
    <w:rsid w:val="004F11C6"/>
    <w:rsid w:val="004F1647"/>
    <w:rsid w:val="004F7BF0"/>
    <w:rsid w:val="005074F2"/>
    <w:rsid w:val="00521341"/>
    <w:rsid w:val="0052166F"/>
    <w:rsid w:val="00526E4C"/>
    <w:rsid w:val="00543EFD"/>
    <w:rsid w:val="005655EC"/>
    <w:rsid w:val="005A7C3F"/>
    <w:rsid w:val="005D6989"/>
    <w:rsid w:val="005F34E4"/>
    <w:rsid w:val="005F4FEC"/>
    <w:rsid w:val="00624D94"/>
    <w:rsid w:val="00631BC7"/>
    <w:rsid w:val="00662143"/>
    <w:rsid w:val="00691FA3"/>
    <w:rsid w:val="00696213"/>
    <w:rsid w:val="006B0586"/>
    <w:rsid w:val="006B706F"/>
    <w:rsid w:val="007058C6"/>
    <w:rsid w:val="00710212"/>
    <w:rsid w:val="00726D98"/>
    <w:rsid w:val="00731B6F"/>
    <w:rsid w:val="00733550"/>
    <w:rsid w:val="00734235"/>
    <w:rsid w:val="00744B95"/>
    <w:rsid w:val="007534C8"/>
    <w:rsid w:val="0075355B"/>
    <w:rsid w:val="007730F9"/>
    <w:rsid w:val="007751F8"/>
    <w:rsid w:val="007765BF"/>
    <w:rsid w:val="00785E90"/>
    <w:rsid w:val="007A562E"/>
    <w:rsid w:val="007C2890"/>
    <w:rsid w:val="007C38E6"/>
    <w:rsid w:val="007D2656"/>
    <w:rsid w:val="007E2F0F"/>
    <w:rsid w:val="007F3000"/>
    <w:rsid w:val="008116EA"/>
    <w:rsid w:val="00843102"/>
    <w:rsid w:val="0084394D"/>
    <w:rsid w:val="00862227"/>
    <w:rsid w:val="0087235C"/>
    <w:rsid w:val="00884565"/>
    <w:rsid w:val="008877C0"/>
    <w:rsid w:val="008A20B6"/>
    <w:rsid w:val="008A35FB"/>
    <w:rsid w:val="008C3FCA"/>
    <w:rsid w:val="008E3268"/>
    <w:rsid w:val="008F43FA"/>
    <w:rsid w:val="00905734"/>
    <w:rsid w:val="00912949"/>
    <w:rsid w:val="00912D4D"/>
    <w:rsid w:val="0091413F"/>
    <w:rsid w:val="0093490F"/>
    <w:rsid w:val="00957A86"/>
    <w:rsid w:val="009641CE"/>
    <w:rsid w:val="00965C56"/>
    <w:rsid w:val="00976A7D"/>
    <w:rsid w:val="00985AD6"/>
    <w:rsid w:val="009A1584"/>
    <w:rsid w:val="009B1FFF"/>
    <w:rsid w:val="009B5798"/>
    <w:rsid w:val="009D0428"/>
    <w:rsid w:val="00A10FE4"/>
    <w:rsid w:val="00A13872"/>
    <w:rsid w:val="00A25030"/>
    <w:rsid w:val="00A25965"/>
    <w:rsid w:val="00A42C73"/>
    <w:rsid w:val="00A50CA9"/>
    <w:rsid w:val="00A52DEE"/>
    <w:rsid w:val="00A52ED3"/>
    <w:rsid w:val="00A67D1C"/>
    <w:rsid w:val="00A8647A"/>
    <w:rsid w:val="00A93C3C"/>
    <w:rsid w:val="00AC763E"/>
    <w:rsid w:val="00AD799E"/>
    <w:rsid w:val="00AF520D"/>
    <w:rsid w:val="00B11BCC"/>
    <w:rsid w:val="00B35DB6"/>
    <w:rsid w:val="00B46103"/>
    <w:rsid w:val="00B5040B"/>
    <w:rsid w:val="00B5468C"/>
    <w:rsid w:val="00B76148"/>
    <w:rsid w:val="00B7777F"/>
    <w:rsid w:val="00BA7538"/>
    <w:rsid w:val="00BB4576"/>
    <w:rsid w:val="00BD4842"/>
    <w:rsid w:val="00BE70BB"/>
    <w:rsid w:val="00C03FE6"/>
    <w:rsid w:val="00C055C7"/>
    <w:rsid w:val="00C16757"/>
    <w:rsid w:val="00C25457"/>
    <w:rsid w:val="00C373EE"/>
    <w:rsid w:val="00C430A1"/>
    <w:rsid w:val="00C53CA5"/>
    <w:rsid w:val="00C62ADD"/>
    <w:rsid w:val="00C738F5"/>
    <w:rsid w:val="00C74251"/>
    <w:rsid w:val="00C77114"/>
    <w:rsid w:val="00C87717"/>
    <w:rsid w:val="00C93197"/>
    <w:rsid w:val="00CB24A8"/>
    <w:rsid w:val="00CE7E04"/>
    <w:rsid w:val="00D31C18"/>
    <w:rsid w:val="00D679C0"/>
    <w:rsid w:val="00D7685B"/>
    <w:rsid w:val="00DB1F5A"/>
    <w:rsid w:val="00DC211E"/>
    <w:rsid w:val="00DC6865"/>
    <w:rsid w:val="00DD0E9C"/>
    <w:rsid w:val="00DE22D1"/>
    <w:rsid w:val="00DE29B3"/>
    <w:rsid w:val="00E25B0E"/>
    <w:rsid w:val="00E40D02"/>
    <w:rsid w:val="00E608B2"/>
    <w:rsid w:val="00E6174C"/>
    <w:rsid w:val="00EB32DE"/>
    <w:rsid w:val="00EC5BC5"/>
    <w:rsid w:val="00EF050E"/>
    <w:rsid w:val="00EF5988"/>
    <w:rsid w:val="00EF7BDB"/>
    <w:rsid w:val="00F128C8"/>
    <w:rsid w:val="00F332E0"/>
    <w:rsid w:val="00F43410"/>
    <w:rsid w:val="00F516D4"/>
    <w:rsid w:val="00F563A5"/>
    <w:rsid w:val="00F564F6"/>
    <w:rsid w:val="00F66BB3"/>
    <w:rsid w:val="00F7304C"/>
    <w:rsid w:val="00F7626A"/>
    <w:rsid w:val="00F80D10"/>
    <w:rsid w:val="00F91A9F"/>
    <w:rsid w:val="00FA2E49"/>
    <w:rsid w:val="00FA7CAA"/>
    <w:rsid w:val="00FB54CF"/>
    <w:rsid w:val="00FF0F5D"/>
    <w:rsid w:val="00FF28DE"/>
    <w:rsid w:val="00FF4351"/>
    <w:rsid w:val="00FF5538"/>
    <w:rsid w:val="046E24C0"/>
    <w:rsid w:val="05BF7EF8"/>
    <w:rsid w:val="2496308D"/>
    <w:rsid w:val="288B6FD9"/>
    <w:rsid w:val="30071591"/>
    <w:rsid w:val="37417326"/>
    <w:rsid w:val="497038CD"/>
    <w:rsid w:val="499A66C3"/>
    <w:rsid w:val="4D5A40F4"/>
    <w:rsid w:val="542A50A2"/>
    <w:rsid w:val="56732B47"/>
    <w:rsid w:val="58DA20C8"/>
    <w:rsid w:val="59C41AA5"/>
    <w:rsid w:val="5C8B0489"/>
    <w:rsid w:val="64E317FD"/>
    <w:rsid w:val="651A5C4B"/>
    <w:rsid w:val="65B31BCC"/>
    <w:rsid w:val="6F457884"/>
    <w:rsid w:val="72E24278"/>
    <w:rsid w:val="74A25915"/>
    <w:rsid w:val="75940C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表段落1"/>
    <w:basedOn w:val="1"/>
    <w:qFormat/>
    <w:uiPriority w:val="34"/>
    <w:pPr>
      <w:spacing w:before="206"/>
      <w:ind w:left="959" w:hanging="361"/>
    </w:pPr>
  </w:style>
  <w:style w:type="character" w:customStyle="1" w:styleId="10">
    <w:name w:val="cd_message"/>
    <w:basedOn w:val="8"/>
    <w:qFormat/>
    <w:uiPriority w:val="0"/>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
    <w:name w:val="列出段落1"/>
    <w:basedOn w:val="1"/>
    <w:qFormat/>
    <w:uiPriority w:val="99"/>
    <w:pPr>
      <w:ind w:firstLine="420" w:firstLineChars="200"/>
    </w:pPr>
  </w:style>
  <w:style w:type="character" w:customStyle="1" w:styleId="13">
    <w:name w:val="页眉 Char"/>
    <w:basedOn w:val="8"/>
    <w:link w:val="6"/>
    <w:uiPriority w:val="0"/>
    <w:rPr>
      <w:kern w:val="2"/>
      <w:sz w:val="18"/>
      <w:szCs w:val="18"/>
    </w:rPr>
  </w:style>
  <w:style w:type="character" w:customStyle="1" w:styleId="14">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1706</Words>
  <Characters>9727</Characters>
  <Lines>81</Lines>
  <Paragraphs>22</Paragraphs>
  <TotalTime>25</TotalTime>
  <ScaleCrop>false</ScaleCrop>
  <LinksUpToDate>false</LinksUpToDate>
  <CharactersWithSpaces>11411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2023-11-20T08:22:50Z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59BA7A90E0FC4E5FA40980D4014A1CFE_13</vt:lpwstr>
  </property>
</Properties>
</file>