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pPr>
        <w:ind w:left="169"/>
        <w:jc w:val="center"/>
        <w:rPr>
          <w:rFonts w:ascii="微软雅黑" w:eastAsia="微软雅黑"/>
          <w:b/>
          <w:sz w:val="36"/>
          <w:szCs w:val="36"/>
          <w:lang w:eastAsia="zh-CN"/>
        </w:rPr>
      </w:pPr>
    </w:p>
    <w:p>
      <w:pPr>
        <w:rPr>
          <w:rFonts w:ascii="微软雅黑" w:eastAsia="微软雅黑"/>
          <w:b/>
          <w:sz w:val="36"/>
          <w:szCs w:val="36"/>
          <w:u w:val="single"/>
          <w:lang w:eastAsia="zh-CN"/>
        </w:rPr>
      </w:pPr>
    </w:p>
    <w:p>
      <w:pPr>
        <w:spacing w:line="360" w:lineRule="auto"/>
        <w:rPr>
          <w:rFonts w:ascii="微软雅黑" w:hAnsi="微软雅黑" w:eastAsia="微软雅黑"/>
          <w:b/>
          <w:sz w:val="44"/>
          <w:szCs w:val="44"/>
          <w:u w:val="single"/>
          <w:lang w:eastAsia="zh-CN"/>
        </w:rPr>
      </w:pPr>
    </w:p>
    <w:p>
      <w:pPr>
        <w:spacing w:line="360" w:lineRule="auto"/>
        <w:ind w:firstLine="2168" w:firstLineChars="450"/>
        <w:jc w:val="both"/>
        <w:rPr>
          <w:rFonts w:hint="eastAsia" w:ascii="黑体" w:hAnsi="黑体" w:eastAsia="黑体"/>
          <w:b/>
          <w:sz w:val="48"/>
          <w:szCs w:val="48"/>
          <w:lang w:eastAsia="zh-CN"/>
        </w:rPr>
      </w:pPr>
      <w:r>
        <w:rPr>
          <w:rFonts w:hint="eastAsia" w:ascii="黑体" w:hAnsi="黑体" w:eastAsia="黑体"/>
          <w:b/>
          <w:sz w:val="48"/>
          <w:szCs w:val="48"/>
          <w:lang w:eastAsia="zh-CN"/>
        </w:rPr>
        <w:t>废包装袋销售</w:t>
      </w:r>
      <w:r>
        <w:rPr>
          <w:rFonts w:ascii="黑体" w:hAnsi="黑体" w:eastAsia="黑体"/>
          <w:b/>
          <w:sz w:val="48"/>
          <w:szCs w:val="48"/>
          <w:lang w:eastAsia="zh-CN"/>
        </w:rPr>
        <w:t>处置</w:t>
      </w:r>
    </w:p>
    <w:p>
      <w:pPr>
        <w:spacing w:line="360" w:lineRule="auto"/>
        <w:ind w:firstLine="3264" w:firstLineChars="739"/>
        <w:jc w:val="both"/>
        <w:rPr>
          <w:rFonts w:ascii="黑体" w:hAnsi="黑体" w:eastAsia="黑体"/>
          <w:b/>
          <w:sz w:val="44"/>
          <w:szCs w:val="44"/>
          <w:lang w:eastAsia="zh-CN"/>
        </w:rPr>
      </w:pPr>
      <w:r>
        <w:rPr>
          <w:rFonts w:hint="eastAsia" w:ascii="黑体" w:hAnsi="黑体" w:eastAsia="黑体"/>
          <w:b/>
          <w:sz w:val="44"/>
          <w:szCs w:val="44"/>
          <w:lang w:eastAsia="zh-CN"/>
        </w:rPr>
        <w:t>比选文件</w:t>
      </w: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2"/>
        <w:jc w:val="center"/>
        <w:rPr>
          <w:rFonts w:ascii="微软雅黑" w:hAnsi="微软雅黑" w:eastAsia="微软雅黑"/>
          <w:b/>
          <w:sz w:val="32"/>
          <w:szCs w:val="32"/>
        </w:rPr>
      </w:pPr>
      <w:r>
        <w:rPr>
          <w:rFonts w:hint="eastAsia" w:ascii="微软雅黑" w:hAnsi="微软雅黑" w:eastAsia="微软雅黑"/>
          <w:b/>
          <w:sz w:val="32"/>
          <w:szCs w:val="32"/>
        </w:rPr>
        <w:t xml:space="preserve">    （项目编号：</w:t>
      </w:r>
      <w:r>
        <w:rPr>
          <w:rFonts w:ascii="微软雅黑" w:hAnsi="微软雅黑" w:eastAsia="微软雅黑"/>
          <w:b/>
          <w:color w:val="000000" w:themeColor="text1"/>
          <w:sz w:val="32"/>
          <w:szCs w:val="32"/>
          <w:shd w:val="clear" w:color="auto" w:fill="FFFFFF"/>
        </w:rPr>
        <w:t>FHC-PT</w:t>
      </w:r>
      <w:r>
        <w:rPr>
          <w:rFonts w:hint="eastAsia" w:ascii="微软雅黑" w:hAnsi="微软雅黑" w:eastAsia="微软雅黑"/>
          <w:b/>
          <w:color w:val="000000" w:themeColor="text1"/>
          <w:sz w:val="32"/>
          <w:szCs w:val="32"/>
          <w:shd w:val="clear" w:color="auto" w:fill="FFFFFF"/>
        </w:rPr>
        <w:t>XS</w:t>
      </w:r>
      <w:r>
        <w:rPr>
          <w:rFonts w:ascii="微软雅黑" w:hAnsi="微软雅黑" w:eastAsia="微软雅黑"/>
          <w:b/>
          <w:color w:val="000000" w:themeColor="text1"/>
          <w:sz w:val="32"/>
          <w:szCs w:val="32"/>
          <w:shd w:val="clear" w:color="auto" w:fill="FFFFFF"/>
        </w:rPr>
        <w:t>20220</w:t>
      </w:r>
      <w:r>
        <w:rPr>
          <w:rFonts w:hint="eastAsia" w:ascii="微软雅黑" w:hAnsi="微软雅黑" w:eastAsia="微软雅黑"/>
          <w:b/>
          <w:color w:val="000000" w:themeColor="text1"/>
          <w:sz w:val="32"/>
          <w:szCs w:val="32"/>
          <w:shd w:val="clear" w:color="auto" w:fill="FFFFFF"/>
        </w:rPr>
        <w:t>425001</w:t>
      </w:r>
      <w:r>
        <w:rPr>
          <w:rFonts w:hint="eastAsia" w:ascii="微软雅黑" w:hAnsi="微软雅黑" w:eastAsia="微软雅黑" w:cs="宋体"/>
          <w:b/>
          <w:sz w:val="32"/>
          <w:szCs w:val="32"/>
        </w:rPr>
        <w:t>）</w:t>
      </w:r>
    </w:p>
    <w:p>
      <w:pPr>
        <w:pStyle w:val="17"/>
        <w:rPr>
          <w:rFonts w:ascii="微软雅黑"/>
          <w:b/>
          <w:sz w:val="32"/>
          <w:szCs w:val="32"/>
          <w:lang w:eastAsia="zh-CN"/>
        </w:rPr>
      </w:pPr>
    </w:p>
    <w:p>
      <w:pPr>
        <w:widowControl/>
        <w:autoSpaceDE/>
        <w:autoSpaceDN/>
        <w:rPr>
          <w:rFonts w:hint="eastAsia" w:ascii="inherit" w:hAnsi="inherit" w:eastAsia="微软雅黑"/>
          <w:color w:val="000000"/>
          <w:sz w:val="20"/>
          <w:szCs w:val="20"/>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二〇二二年</w:t>
      </w:r>
      <w:r>
        <w:rPr>
          <w:rFonts w:hint="eastAsia" w:ascii="微软雅黑" w:eastAsia="微软雅黑"/>
          <w:b/>
          <w:w w:val="95"/>
          <w:sz w:val="32"/>
          <w:lang w:val="en-US" w:eastAsia="zh-CN"/>
        </w:rPr>
        <w:t>九</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2129"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48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360" w:lineRule="auto"/>
        <w:ind w:left="550" w:leftChars="150" w:hanging="220" w:hangingChars="100"/>
        <w:rPr>
          <w:rFonts w:asciiTheme="minorEastAsia" w:hAnsiTheme="minorEastAsia" w:eastAsiaTheme="minorEastAsia"/>
          <w:sz w:val="24"/>
          <w:szCs w:val="24"/>
          <w:lang w:eastAsia="zh-CN"/>
        </w:rPr>
      </w:pPr>
      <w:r>
        <w:rPr>
          <w:rFonts w:hint="eastAsia"/>
          <w:lang w:eastAsia="zh-CN"/>
        </w:rPr>
        <w:t xml:space="preserve"> </w:t>
      </w:r>
      <w:r>
        <w:rPr>
          <w:rFonts w:hint="eastAsia" w:asciiTheme="minorEastAsia" w:hAnsiTheme="minorEastAsia" w:eastAsiaTheme="minorEastAsia"/>
          <w:sz w:val="24"/>
          <w:szCs w:val="24"/>
          <w:lang w:eastAsia="zh-CN"/>
        </w:rPr>
        <w:t>附件四：废包装袋销售说明</w:t>
      </w:r>
    </w:p>
    <w:p>
      <w:pPr>
        <w:pStyle w:val="2"/>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 xml:space="preserve">          </w:t>
      </w:r>
    </w:p>
    <w:p>
      <w:pPr>
        <w:pStyle w:val="2"/>
        <w:rPr>
          <w:rFonts w:asciiTheme="minorEastAsia" w:hAnsiTheme="minorEastAsia" w:eastAsiaTheme="minorEastAsia"/>
          <w:color w:val="000000" w:themeColor="text1"/>
          <w:sz w:val="24"/>
          <w:szCs w:val="24"/>
        </w:rPr>
      </w:pPr>
    </w:p>
    <w:p>
      <w:pPr>
        <w:pStyle w:val="2"/>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360" w:lineRule="auto"/>
        <w:rPr>
          <w:rFonts w:ascii="微软雅黑" w:hAnsi="微软雅黑" w:eastAsia="微软雅黑"/>
          <w:b/>
          <w:sz w:val="36"/>
          <w:szCs w:val="36"/>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“废包装袋销售</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highlight w:val="yellow"/>
          <w:lang w:eastAsia="zh-CN"/>
        </w:rPr>
        <w:t>项</w:t>
      </w:r>
      <w:r>
        <w:rPr>
          <w:rFonts w:hint="eastAsia" w:asciiTheme="minorEastAsia" w:hAnsiTheme="minorEastAsia" w:eastAsiaTheme="minorEastAsia"/>
          <w:sz w:val="24"/>
          <w:szCs w:val="24"/>
          <w:highlight w:val="yellow"/>
          <w:lang w:eastAsia="zh-CN"/>
        </w:rPr>
        <w:t>目编号：</w:t>
      </w:r>
      <w:r>
        <w:rPr>
          <w:rFonts w:asciiTheme="minorEastAsia" w:hAnsiTheme="minorEastAsia" w:eastAsiaTheme="minorEastAsia"/>
          <w:color w:val="000000" w:themeColor="text1"/>
          <w:sz w:val="24"/>
          <w:szCs w:val="24"/>
          <w:highlight w:val="yellow"/>
          <w:shd w:val="clear" w:color="auto" w:fill="FFFFFF"/>
          <w:lang w:eastAsia="zh-CN"/>
        </w:rPr>
        <w:t>FHC-PT</w:t>
      </w:r>
      <w:r>
        <w:rPr>
          <w:rFonts w:hint="eastAsia" w:asciiTheme="minorEastAsia" w:hAnsiTheme="minorEastAsia" w:eastAsiaTheme="minorEastAsia"/>
          <w:color w:val="000000" w:themeColor="text1"/>
          <w:sz w:val="24"/>
          <w:szCs w:val="24"/>
          <w:highlight w:val="yellow"/>
          <w:shd w:val="clear" w:color="auto" w:fill="FFFFFF"/>
          <w:lang w:eastAsia="zh-CN"/>
        </w:rPr>
        <w:t>XS</w:t>
      </w:r>
      <w:r>
        <w:rPr>
          <w:rFonts w:asciiTheme="minorEastAsia" w:hAnsiTheme="minorEastAsia" w:eastAsiaTheme="minorEastAsia"/>
          <w:color w:val="000000" w:themeColor="text1"/>
          <w:sz w:val="24"/>
          <w:szCs w:val="24"/>
          <w:highlight w:val="yellow"/>
          <w:shd w:val="clear" w:color="auto" w:fill="FFFFFF"/>
          <w:lang w:eastAsia="zh-CN"/>
        </w:rPr>
        <w:t>20220</w:t>
      </w:r>
      <w:r>
        <w:rPr>
          <w:rFonts w:hint="eastAsia" w:asciiTheme="minorEastAsia" w:hAnsiTheme="minorEastAsia" w:eastAsiaTheme="minorEastAsia"/>
          <w:color w:val="000000" w:themeColor="text1"/>
          <w:sz w:val="24"/>
          <w:szCs w:val="24"/>
          <w:highlight w:val="yellow"/>
          <w:shd w:val="clear" w:color="auto" w:fill="FFFFFF"/>
          <w:lang w:eastAsia="zh-CN"/>
        </w:rPr>
        <w:t>425001”</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2"/>
        </w:numPr>
        <w:spacing w:line="360" w:lineRule="auto"/>
        <w:ind w:left="0"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1.项目名称：废包装袋销售；</w:t>
      </w:r>
    </w:p>
    <w:p>
      <w:pPr>
        <w:pStyle w:val="90"/>
        <w:autoSpaceDE/>
        <w:autoSpaceDN/>
        <w:spacing w:before="0" w:line="360" w:lineRule="auto"/>
        <w:ind w:left="0" w:firstLine="480" w:firstLineChars="200"/>
        <w:jc w:val="both"/>
        <w:rPr>
          <w:sz w:val="24"/>
          <w:lang w:eastAsia="zh-CN"/>
        </w:rPr>
      </w:pPr>
      <w:r>
        <w:rPr>
          <w:rFonts w:hint="eastAsia"/>
          <w:sz w:val="24"/>
          <w:lang w:eastAsia="zh-CN"/>
        </w:rPr>
        <w:t>2.预估数量：</w:t>
      </w:r>
      <w:r>
        <w:rPr>
          <w:rFonts w:hint="eastAsia"/>
          <w:spacing w:val="8"/>
          <w:sz w:val="24"/>
          <w:szCs w:val="24"/>
          <w:lang w:eastAsia="zh-CN"/>
        </w:rPr>
        <w:t>10吨</w:t>
      </w:r>
      <w:r>
        <w:rPr>
          <w:rFonts w:hint="eastAsia"/>
          <w:sz w:val="24"/>
          <w:lang w:eastAsia="zh-CN"/>
        </w:rPr>
        <w:t>；</w:t>
      </w:r>
    </w:p>
    <w:p>
      <w:pPr>
        <w:pStyle w:val="90"/>
        <w:autoSpaceDE/>
        <w:autoSpaceDN/>
        <w:spacing w:before="0" w:line="360" w:lineRule="auto"/>
        <w:ind w:left="0" w:firstLine="480" w:firstLineChars="200"/>
        <w:jc w:val="both"/>
        <w:rPr>
          <w:sz w:val="24"/>
          <w:lang w:eastAsia="zh-CN"/>
        </w:rPr>
      </w:pPr>
      <w:r>
        <w:rPr>
          <w:rFonts w:hint="eastAsia"/>
          <w:sz w:val="24"/>
          <w:lang w:eastAsia="zh-CN"/>
        </w:rPr>
        <w:t>3.合同期限</w:t>
      </w:r>
      <w:r>
        <w:rPr>
          <w:sz w:val="24"/>
          <w:lang w:eastAsia="zh-CN"/>
        </w:rPr>
        <w:t>：</w:t>
      </w:r>
      <w:r>
        <w:rPr>
          <w:rFonts w:hint="eastAsia"/>
          <w:spacing w:val="8"/>
          <w:sz w:val="24"/>
          <w:szCs w:val="24"/>
          <w:lang w:eastAsia="zh-CN"/>
        </w:rPr>
        <w:t>自签约之日起30个工作日内清运完毕；</w:t>
      </w:r>
    </w:p>
    <w:p>
      <w:pPr>
        <w:pStyle w:val="2"/>
        <w:spacing w:line="360" w:lineRule="auto"/>
        <w:ind w:firstLine="240" w:firstLineChars="1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二、参选人资格要求</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1.</w:t>
      </w:r>
      <w:r>
        <w:rPr>
          <w:rFonts w:hint="eastAsia" w:asciiTheme="minorEastAsia" w:hAnsiTheme="minorEastAsia" w:eastAsiaTheme="minorEastAsia"/>
          <w:sz w:val="24"/>
          <w:szCs w:val="24"/>
          <w:lang w:eastAsia="zh-CN"/>
        </w:rPr>
        <w:t>参选人必须具备有效的企业法人营业执照；</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2.</w:t>
      </w:r>
      <w:r>
        <w:rPr>
          <w:rFonts w:cs="Times New Roman"/>
          <w:sz w:val="24"/>
          <w:szCs w:val="24"/>
          <w:lang w:eastAsia="zh-CN"/>
        </w:rPr>
        <w:t>单位负责人为同一人或者存在控股、管理关系的不同单位不得同时参加本项目的比选；</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3.</w:t>
      </w:r>
      <w:r>
        <w:rPr>
          <w:rFonts w:cs="Times New Roman"/>
          <w:sz w:val="24"/>
          <w:szCs w:val="24"/>
          <w:lang w:eastAsia="zh-CN"/>
        </w:rPr>
        <w:t>没有失信黑名单记录（以最高院失信被执行人系统发布信息为准）；</w:t>
      </w:r>
    </w:p>
    <w:p>
      <w:pPr>
        <w:pStyle w:val="90"/>
        <w:autoSpaceDE/>
        <w:autoSpaceDN/>
        <w:spacing w:before="0" w:line="360" w:lineRule="auto"/>
        <w:jc w:val="both"/>
        <w:rPr>
          <w:rFonts w:cs="Times New Roman"/>
          <w:sz w:val="24"/>
          <w:szCs w:val="24"/>
          <w:lang w:eastAsia="zh-CN"/>
        </w:rPr>
      </w:pPr>
      <w:r>
        <w:rPr>
          <w:rFonts w:hint="eastAsia" w:cs="Times New Roman"/>
          <w:sz w:val="24"/>
          <w:szCs w:val="24"/>
          <w:lang w:eastAsia="zh-CN"/>
        </w:rPr>
        <w:t>4.</w:t>
      </w:r>
      <w:r>
        <w:rPr>
          <w:rFonts w:cs="Times New Roman"/>
          <w:sz w:val="24"/>
          <w:szCs w:val="24"/>
          <w:lang w:eastAsia="zh-CN"/>
        </w:rPr>
        <w:t>与比选人无诉讼纠纷；</w:t>
      </w:r>
    </w:p>
    <w:p>
      <w:pPr>
        <w:pStyle w:val="2"/>
        <w:spacing w:line="360" w:lineRule="auto"/>
        <w:ind w:left="845" w:leftChars="275" w:hanging="240" w:hangingChars="100"/>
        <w:rPr>
          <w:sz w:val="24"/>
          <w:szCs w:val="24"/>
        </w:rPr>
      </w:pPr>
      <w:r>
        <w:rPr>
          <w:rFonts w:hint="eastAsia"/>
          <w:sz w:val="24"/>
          <w:szCs w:val="24"/>
        </w:rPr>
        <w:t>5.参选人具备石油化工企业废旧物资收购二年业绩（提供合同及发票复印件，原件备查）；</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1.报名时间：</w:t>
      </w:r>
      <w:r>
        <w:rPr>
          <w:rFonts w:hint="eastAsia" w:asciiTheme="minorEastAsia" w:hAnsiTheme="minorEastAsia" w:eastAsiaTheme="minorEastAsia"/>
          <w:sz w:val="24"/>
          <w:szCs w:val="24"/>
          <w:lang w:eastAsia="zh-CN"/>
        </w:rPr>
        <w:t>2022年</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14</w:t>
      </w:r>
      <w:r>
        <w:rPr>
          <w:rFonts w:hint="eastAsia" w:asciiTheme="minorEastAsia" w:hAnsiTheme="minorEastAsia" w:eastAsiaTheme="minorEastAsia"/>
          <w:sz w:val="24"/>
          <w:szCs w:val="24"/>
          <w:lang w:eastAsia="zh-CN"/>
        </w:rPr>
        <w:t>日起至2022年</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23</w:t>
      </w:r>
      <w:r>
        <w:rPr>
          <w:rFonts w:hint="eastAsia" w:asciiTheme="minorEastAsia" w:hAnsiTheme="minorEastAsia" w:eastAsiaTheme="minorEastAsia"/>
          <w:sz w:val="24"/>
          <w:szCs w:val="24"/>
          <w:lang w:eastAsia="zh-CN"/>
        </w:rPr>
        <w:t>日1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:00（共 10 天）；</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53"/>
          <w:rFonts w:hint="eastAsia" w:asciiTheme="minorEastAsia" w:hAnsiTheme="minorEastAsia" w:eastAsiaTheme="minorEastAsia"/>
          <w:bCs/>
          <w:szCs w:val="24"/>
          <w:lang w:eastAsia="zh-CN"/>
        </w:rPr>
        <w:t>xukh</w:t>
      </w:r>
      <w:r>
        <w:rPr>
          <w:rStyle w:val="53"/>
          <w:rFonts w:asciiTheme="minorEastAsia" w:hAnsiTheme="minorEastAsia" w:eastAsiaTheme="minorEastAsia"/>
          <w:bCs/>
          <w:szCs w:val="24"/>
        </w:rPr>
        <w:t>@f</w:t>
      </w:r>
      <w:r>
        <w:rPr>
          <w:rStyle w:val="53"/>
          <w:rFonts w:hint="eastAsia" w:asciiTheme="minorEastAsia" w:hAnsiTheme="minorEastAsia" w:eastAsiaTheme="minorEastAsia"/>
          <w:bCs/>
          <w:szCs w:val="24"/>
          <w:lang w:eastAsia="zh-CN"/>
        </w:rPr>
        <w:t>j</w:t>
      </w:r>
      <w:r>
        <w:rPr>
          <w:rStyle w:val="53"/>
          <w:rFonts w:asciiTheme="minorEastAsia" w:hAnsiTheme="minorEastAsia" w:eastAsiaTheme="minorEastAsia"/>
          <w:bCs/>
          <w:szCs w:val="24"/>
        </w:rPr>
        <w:t>pec.com.cn</w:t>
      </w:r>
      <w:r>
        <w:rPr>
          <w:rStyle w:val="53"/>
          <w:rFonts w:asciiTheme="minorEastAsia" w:hAnsiTheme="minorEastAsia" w:eastAsiaTheme="minorEastAsia"/>
          <w:bCs/>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（1）法人授权委托书（原件，格式详见参选文件附件</w:t>
      </w:r>
      <w:r>
        <w:rPr>
          <w:rFonts w:hint="eastAsia" w:asciiTheme="minorEastAsia" w:hAnsiTheme="minorEastAsia" w:eastAsiaTheme="minorEastAsia"/>
          <w:bCs/>
          <w:sz w:val="24"/>
          <w:szCs w:val="24"/>
          <w:lang w:eastAsia="zh-CN"/>
        </w:rPr>
        <w:t>3</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90"/>
        <w:autoSpaceDE/>
        <w:autoSpaceDN/>
        <w:spacing w:before="0" w:line="360" w:lineRule="auto"/>
        <w:jc w:val="both"/>
        <w:rPr>
          <w:rFonts w:asciiTheme="minorEastAsia" w:hAnsiTheme="minorEastAsia" w:eastAsiaTheme="minorEastAsia"/>
          <w:iCs/>
          <w:color w:val="333333"/>
          <w:lang w:eastAsia="zh-CN"/>
        </w:rPr>
      </w:pPr>
      <w:r>
        <w:rPr>
          <w:rFonts w:hint="eastAsia" w:asciiTheme="minorEastAsia" w:hAnsiTheme="minorEastAsia" w:eastAsiaTheme="minorEastAsia"/>
          <w:bCs/>
          <w:sz w:val="24"/>
          <w:szCs w:val="24"/>
          <w:lang w:eastAsia="zh-CN"/>
        </w:rPr>
        <w:t>3.获取比选文件：参选人自行下载比选文件</w:t>
      </w:r>
      <w:r>
        <w:rPr>
          <w:rFonts w:hint="eastAsia" w:asciiTheme="minorEastAsia" w:hAnsiTheme="minorEastAsia" w:eastAsiaTheme="minorEastAsia"/>
          <w:iCs/>
          <w:color w:val="333333"/>
          <w:lang w:eastAsia="zh-CN"/>
        </w:rPr>
        <w:t>。</w:t>
      </w:r>
    </w:p>
    <w:p>
      <w:pPr>
        <w:pStyle w:val="43"/>
        <w:spacing w:before="0" w:beforeAutospacing="0" w:after="0" w:afterAutospacing="0" w:line="360" w:lineRule="auto"/>
        <w:ind w:firstLine="361" w:firstLineChars="150"/>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rPr>
        <w:t>三、参选文件递交要求时间、地点：</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1.参选文件递交地点：福建省漳州市漳浦县杜浔镇杜昌路9号福建福海创石油化工有限公司办公楼三楼设备及服务团队，联系人：许坤宏 联系电话：0596-6311080。</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2.递交截止时间：</w:t>
      </w:r>
      <w:r>
        <w:rPr>
          <w:rFonts w:hint="eastAsia"/>
          <w:color w:val="000000" w:themeColor="text1"/>
        </w:rPr>
        <w:t>参选文件递交截止时间（以送达时间为准）：</w:t>
      </w:r>
      <w:bookmarkStart w:id="1" w:name="_GoBack"/>
      <w:bookmarkEnd w:id="1"/>
      <w:r>
        <w:rPr>
          <w:rFonts w:hint="eastAsia" w:asciiTheme="minorEastAsia" w:hAnsiTheme="minorEastAsia" w:eastAsiaTheme="minorEastAsia"/>
          <w:sz w:val="24"/>
          <w:szCs w:val="24"/>
          <w:lang w:eastAsia="zh-CN"/>
        </w:rPr>
        <w:t>2022年</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14</w:t>
      </w:r>
      <w:r>
        <w:rPr>
          <w:rFonts w:hint="eastAsia" w:asciiTheme="minorEastAsia" w:hAnsiTheme="minorEastAsia" w:eastAsiaTheme="minorEastAsia"/>
          <w:sz w:val="24"/>
          <w:szCs w:val="24"/>
          <w:lang w:eastAsia="zh-CN"/>
        </w:rPr>
        <w:t>日起至2022年</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23</w:t>
      </w:r>
      <w:r>
        <w:rPr>
          <w:rFonts w:hint="eastAsia" w:asciiTheme="minorEastAsia" w:hAnsiTheme="minorEastAsia" w:eastAsiaTheme="minorEastAsia"/>
          <w:sz w:val="24"/>
          <w:szCs w:val="24"/>
          <w:lang w:eastAsia="zh-CN"/>
        </w:rPr>
        <w:t>日1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:00（共 10 天）</w:t>
      </w:r>
      <w:r>
        <w:rPr>
          <w:rFonts w:hint="eastAsia"/>
          <w:color w:val="000000" w:themeColor="text1"/>
        </w:rPr>
        <w:t>。</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hint="eastAsia" w:asciiTheme="minorEastAsia" w:hAnsiTheme="minorEastAsia" w:eastAsiaTheme="minorEastAsia"/>
          <w:b/>
          <w:sz w:val="24"/>
          <w:szCs w:val="24"/>
        </w:rPr>
        <w:t>联系方式：</w:t>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eastAsiaTheme="minorEastAsia"/>
          <w:bCs/>
          <w:color w:val="000000" w:themeColor="text1"/>
          <w:szCs w:val="24"/>
        </w:rPr>
        <w:t>商务联系人：许坤宏  电话：0596-6311080 邮箱：</w:t>
      </w:r>
      <w:r>
        <w:fldChar w:fldCharType="begin"/>
      </w:r>
      <w:r>
        <w:instrText xml:space="preserve"> HYPERLINK "mailto:xukh@fjpec.com.cn" </w:instrText>
      </w:r>
      <w:r>
        <w:fldChar w:fldCharType="separate"/>
      </w:r>
      <w:r>
        <w:rPr>
          <w:rStyle w:val="53"/>
          <w:rFonts w:hint="eastAsia" w:cs="宋体" w:asciiTheme="minorEastAsia" w:hAnsiTheme="minorEastAsia" w:eastAsiaTheme="minorEastAsia"/>
          <w:bCs/>
          <w:color w:val="000000" w:themeColor="text1"/>
          <w:szCs w:val="24"/>
        </w:rPr>
        <w:t>xukh@fjpec.com.cn</w:t>
      </w:r>
      <w:r>
        <w:rPr>
          <w:rStyle w:val="53"/>
          <w:rFonts w:hint="eastAsia" w:cs="宋体" w:asciiTheme="minorEastAsia" w:hAnsiTheme="minorEastAsia" w:eastAsiaTheme="minorEastAsia"/>
          <w:bCs/>
          <w:color w:val="000000" w:themeColor="text1"/>
          <w:szCs w:val="24"/>
        </w:rPr>
        <w:fldChar w:fldCharType="end"/>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bCs/>
          <w:szCs w:val="24"/>
        </w:rPr>
        <w:t>现场联系人：冯顺新  电话：19959614198</w:t>
      </w:r>
      <w:r>
        <w:rPr>
          <w:rFonts w:cs="宋体" w:asciiTheme="minorEastAsia" w:hAnsiTheme="minorEastAsia"/>
          <w:bCs/>
          <w:szCs w:val="24"/>
        </w:rPr>
        <w:t xml:space="preserve">  </w:t>
      </w:r>
      <w:r>
        <w:rPr>
          <w:rFonts w:hint="eastAsia" w:cs="宋体" w:asciiTheme="minorEastAsia" w:hAnsiTheme="minorEastAsia"/>
          <w:bCs/>
          <w:szCs w:val="24"/>
        </w:rPr>
        <w:t xml:space="preserve">   </w:t>
      </w:r>
      <w:r>
        <w:rPr>
          <w:rStyle w:val="254"/>
          <w:color w:val="111111"/>
        </w:rPr>
        <w:t xml:space="preserve"> </w:t>
      </w:r>
    </w:p>
    <w:p>
      <w:pPr>
        <w:pStyle w:val="10"/>
        <w:snapToGrid w:val="0"/>
        <w:spacing w:line="360" w:lineRule="auto"/>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纪检监察室电话：0596-6311774</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17"/>
        <w:spacing w:line="360" w:lineRule="auto"/>
        <w:ind w:left="363" w:leftChars="165" w:right="121"/>
        <w:jc w:val="both"/>
        <w:rPr>
          <w:rFonts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：废包装袋销售。</w:t>
      </w:r>
    </w:p>
    <w:p>
      <w:pPr>
        <w:pStyle w:val="17"/>
        <w:spacing w:line="360" w:lineRule="auto"/>
        <w:ind w:left="363" w:leftChars="165" w:right="121"/>
        <w:jc w:val="both"/>
        <w:rPr>
          <w:rFonts w:asciiTheme="minorEastAsia" w:hAnsiTheme="minorEastAsia" w:eastAsiaTheme="minorEastAsia"/>
          <w:lang w:eastAsia="zh-CN"/>
        </w:rPr>
      </w:pPr>
      <w:r>
        <w:rPr>
          <w:rFonts w:hint="eastAsia"/>
          <w:lang w:eastAsia="zh-CN"/>
        </w:rPr>
        <w:t>2、</w:t>
      </w:r>
      <w:r>
        <w:rPr>
          <w:lang w:eastAsia="zh-CN"/>
        </w:rPr>
        <w:t>发</w:t>
      </w:r>
      <w:r>
        <w:rPr>
          <w:rFonts w:hint="eastAsia"/>
          <w:lang w:eastAsia="zh-CN"/>
        </w:rPr>
        <w:t>包方式：合同期限内销售（数量为预估量，结算以实际过磅重为准）。</w:t>
      </w:r>
    </w:p>
    <w:p>
      <w:pPr>
        <w:pStyle w:val="17"/>
        <w:spacing w:line="360" w:lineRule="auto"/>
        <w:ind w:right="121" w:firstLine="480" w:firstLineChars="200"/>
        <w:jc w:val="both"/>
        <w:rPr>
          <w:rFonts w:asciiTheme="minorEastAsia" w:hAnsiTheme="minorEastAsia" w:eastAsiaTheme="minorEastAsia"/>
          <w:lang w:eastAsia="zh-CN"/>
        </w:rPr>
      </w:pPr>
      <w:r>
        <w:rPr>
          <w:rFonts w:hint="eastAsia"/>
          <w:lang w:eastAsia="zh-CN"/>
        </w:rPr>
        <w:t>3、项目</w:t>
      </w:r>
      <w:r>
        <w:rPr>
          <w:lang w:eastAsia="zh-CN"/>
        </w:rPr>
        <w:t>地点：</w:t>
      </w:r>
      <w:r>
        <w:rPr>
          <w:rFonts w:hint="eastAsia"/>
          <w:lang w:eastAsia="zh-CN"/>
        </w:rPr>
        <w:t>福建省漳州市古雷开发区腾龙路86号，PX/PTA厂区及翔鹭码头</w:t>
      </w:r>
    </w:p>
    <w:p>
      <w:pPr>
        <w:spacing w:line="360" w:lineRule="auto"/>
        <w:ind w:firstLine="343" w:firstLineChars="150"/>
        <w:rPr>
          <w:rFonts w:asciiTheme="minorEastAsia" w:hAnsiTheme="minorEastAsia" w:eastAsiaTheme="minorEastAsia"/>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pStyle w:val="17"/>
        <w:spacing w:line="360" w:lineRule="auto"/>
        <w:ind w:left="484" w:leftChars="220" w:right="121"/>
        <w:jc w:val="both"/>
        <w:rPr>
          <w:rFonts w:cs="Times New Roman"/>
          <w:lang w:eastAsia="zh-CN"/>
        </w:rPr>
      </w:pPr>
      <w:r>
        <w:rPr>
          <w:rFonts w:cs="Times New Roman"/>
          <w:lang w:eastAsia="zh-CN"/>
        </w:rPr>
        <w:t>1</w:t>
      </w:r>
      <w:r>
        <w:rPr>
          <w:rFonts w:hint="eastAsia" w:cs="Times New Roman"/>
          <w:lang w:eastAsia="zh-CN"/>
        </w:rPr>
        <w:t>．</w:t>
      </w:r>
      <w:r>
        <w:rPr>
          <w:rFonts w:cs="Times New Roman"/>
          <w:lang w:eastAsia="zh-CN"/>
        </w:rPr>
        <w:t>具备独立法人资格、具备有效的企业法人营业执照；</w:t>
      </w:r>
      <w:r>
        <w:rPr>
          <w:rFonts w:cs="Times New Roman"/>
          <w:lang w:eastAsia="zh-CN"/>
        </w:rPr>
        <w:cr/>
      </w:r>
      <w:r>
        <w:rPr>
          <w:rFonts w:cs="Times New Roman"/>
          <w:lang w:eastAsia="zh-CN"/>
        </w:rPr>
        <w:t>2</w:t>
      </w:r>
      <w:r>
        <w:rPr>
          <w:rFonts w:hint="eastAsia" w:cs="Times New Roman"/>
          <w:lang w:eastAsia="zh-CN"/>
        </w:rPr>
        <w:t xml:space="preserve">. </w:t>
      </w:r>
      <w:r>
        <w:rPr>
          <w:rFonts w:cs="Times New Roman"/>
          <w:lang w:eastAsia="zh-CN"/>
        </w:rPr>
        <w:t>单位负责人为同一人或者存在控股、管理关系的不同单位不得同时参加本项目的比选；</w:t>
      </w:r>
      <w:r>
        <w:rPr>
          <w:rFonts w:cs="Times New Roman"/>
          <w:lang w:eastAsia="zh-CN"/>
        </w:rPr>
        <w:cr/>
      </w:r>
      <w:r>
        <w:rPr>
          <w:rFonts w:cs="Times New Roman"/>
          <w:lang w:eastAsia="zh-CN"/>
        </w:rPr>
        <w:t>3</w:t>
      </w:r>
      <w:r>
        <w:rPr>
          <w:rFonts w:hint="eastAsia" w:cs="Times New Roman"/>
          <w:lang w:eastAsia="zh-CN"/>
        </w:rPr>
        <w:t xml:space="preserve">. </w:t>
      </w:r>
      <w:r>
        <w:rPr>
          <w:rFonts w:cs="Times New Roman"/>
          <w:lang w:eastAsia="zh-CN"/>
        </w:rPr>
        <w:t>没有失信黑名单记录（以最高院失信被执行人系统发布信息为准）；</w:t>
      </w:r>
      <w:r>
        <w:rPr>
          <w:rFonts w:cs="Times New Roman"/>
          <w:lang w:eastAsia="zh-CN"/>
        </w:rPr>
        <w:cr/>
      </w:r>
      <w:r>
        <w:rPr>
          <w:rFonts w:cs="Times New Roman"/>
          <w:lang w:eastAsia="zh-CN"/>
        </w:rPr>
        <w:t>4</w:t>
      </w:r>
      <w:r>
        <w:rPr>
          <w:rFonts w:hint="eastAsia" w:cs="Times New Roman"/>
          <w:lang w:eastAsia="zh-CN"/>
        </w:rPr>
        <w:t xml:space="preserve">. </w:t>
      </w:r>
      <w:r>
        <w:rPr>
          <w:rFonts w:cs="Times New Roman"/>
          <w:lang w:eastAsia="zh-CN"/>
        </w:rPr>
        <w:t>与比选人无诉讼纠纷；</w:t>
      </w:r>
    </w:p>
    <w:p>
      <w:pPr>
        <w:pStyle w:val="17"/>
        <w:spacing w:line="360" w:lineRule="auto"/>
        <w:ind w:left="484" w:leftChars="220" w:right="121"/>
        <w:jc w:val="both"/>
        <w:rPr>
          <w:rFonts w:hint="eastAsia" w:cs="Times New Roman"/>
          <w:lang w:eastAsia="zh-CN"/>
        </w:rPr>
      </w:pPr>
      <w:r>
        <w:rPr>
          <w:rFonts w:hint="eastAsia" w:cs="Times New Roman"/>
          <w:lang w:eastAsia="zh-CN"/>
        </w:rPr>
        <w:t>5、参选人具备石油化工企业废旧物资收购业绩（提供合同及发票复印件，原件备查）</w:t>
      </w:r>
    </w:p>
    <w:p>
      <w:pPr>
        <w:pStyle w:val="17"/>
        <w:spacing w:line="360" w:lineRule="auto"/>
        <w:ind w:left="484" w:leftChars="220" w:right="121"/>
        <w:jc w:val="both"/>
        <w:rPr>
          <w:rFonts w:hint="eastAsia" w:cs="Times New Roman"/>
          <w:lang w:eastAsia="zh-CN"/>
        </w:rPr>
      </w:pPr>
      <w:r>
        <w:rPr>
          <w:rFonts w:hint="eastAsia" w:cs="Times New Roman"/>
          <w:lang w:val="en-US" w:eastAsia="zh-CN"/>
        </w:rPr>
        <w:t>6、</w:t>
      </w:r>
      <w:r>
        <w:rPr>
          <w:rFonts w:hint="eastAsia" w:cs="Times New Roman"/>
          <w:lang w:eastAsia="zh-CN"/>
        </w:rPr>
        <w:t>投标人必须是法人代表参加，不得以代表人参加投标。投标必须明确各配置人员社医保情况。</w:t>
      </w:r>
    </w:p>
    <w:p>
      <w:pPr>
        <w:pStyle w:val="2"/>
        <w:spacing w:line="360" w:lineRule="auto"/>
        <w:rPr>
          <w:rFonts w:hint="eastAsia"/>
          <w:b/>
          <w:w w:val="95"/>
          <w:sz w:val="24"/>
          <w:szCs w:val="24"/>
        </w:rPr>
      </w:pPr>
      <w:r>
        <w:rPr>
          <w:b/>
          <w:w w:val="95"/>
          <w:sz w:val="24"/>
          <w:szCs w:val="24"/>
        </w:rPr>
        <w:t>七、参选保证金</w:t>
      </w:r>
    </w:p>
    <w:p>
      <w:pPr>
        <w:pStyle w:val="2"/>
        <w:spacing w:line="360" w:lineRule="auto"/>
        <w:ind w:firstLine="456" w:firstLineChars="200"/>
        <w:rPr>
          <w:w w:val="95"/>
          <w:sz w:val="24"/>
          <w:szCs w:val="24"/>
        </w:rPr>
      </w:pPr>
      <w:r>
        <w:rPr>
          <w:rFonts w:hint="eastAsia"/>
          <w:w w:val="95"/>
          <w:sz w:val="24"/>
          <w:szCs w:val="24"/>
        </w:rPr>
        <w:t>本项目不适用</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Pr>
          <w:rFonts w:hint="eastAsia"/>
          <w:color w:val="000000" w:themeColor="text1"/>
          <w:lang w:val="en-US" w:eastAsia="zh-CN"/>
        </w:rPr>
        <w:t>6</w:t>
      </w:r>
      <w:r>
        <w:rPr>
          <w:rFonts w:hint="eastAsia"/>
          <w:color w:val="000000" w:themeColor="text1"/>
          <w:lang w:eastAsia="zh-CN"/>
        </w:rPr>
        <w:t>月</w:t>
      </w:r>
      <w:r>
        <w:rPr>
          <w:rFonts w:hint="eastAsia"/>
          <w:color w:val="000000" w:themeColor="text1"/>
          <w:lang w:val="en-US" w:eastAsia="zh-CN"/>
        </w:rPr>
        <w:t>7</w:t>
      </w:r>
      <w:r>
        <w:rPr>
          <w:rFonts w:hint="eastAsia"/>
          <w:color w:val="000000" w:themeColor="text1"/>
          <w:lang w:eastAsia="zh-CN"/>
        </w:rPr>
        <w:t>日14时00分前</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许坤宏  </w:t>
      </w:r>
      <w:r>
        <w:rPr>
          <w:spacing w:val="-6"/>
          <w:lang w:eastAsia="zh-CN"/>
        </w:rPr>
        <w:t xml:space="preserve"> </w:t>
      </w:r>
      <w:r>
        <w:rPr>
          <w:lang w:eastAsia="zh-CN"/>
        </w:rPr>
        <w:t>联系电话</w:t>
      </w:r>
      <w:r>
        <w:rPr>
          <w:spacing w:val="-4"/>
          <w:lang w:eastAsia="zh-CN"/>
        </w:rPr>
        <w:t>：</w:t>
      </w:r>
      <w:r>
        <w:rPr>
          <w:rFonts w:hint="eastAsia"/>
          <w:spacing w:val="-4"/>
          <w:lang w:eastAsia="zh-CN"/>
        </w:rPr>
        <w:t>0596-6311080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0"/>
        <w:rPr>
          <w:lang w:eastAsia="zh-CN"/>
        </w:rPr>
      </w:pPr>
      <w:bookmarkStart w:id="0" w:name="_Toc251742852"/>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480" w:firstLineChars="200"/>
        <w:jc w:val="both"/>
        <w:rPr>
          <w:lang w:eastAsia="zh-CN"/>
        </w:rPr>
      </w:pPr>
      <w:r>
        <w:rPr>
          <w:rFonts w:hint="eastAsia"/>
          <w:lang w:eastAsia="zh-CN"/>
        </w:rPr>
        <w:t>2、商务参选文件</w:t>
      </w:r>
    </w:p>
    <w:p>
      <w:pPr>
        <w:pStyle w:val="17"/>
        <w:spacing w:line="48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spacing w:before="15" w:line="360" w:lineRule="auto"/>
        <w:rPr>
          <w:b/>
          <w:w w:val="95"/>
          <w:sz w:val="24"/>
          <w:szCs w:val="24"/>
          <w:lang w:eastAsia="zh-CN"/>
        </w:rPr>
      </w:pPr>
      <w:r>
        <w:rPr>
          <w:b/>
          <w:w w:val="95"/>
          <w:sz w:val="24"/>
          <w:szCs w:val="24"/>
          <w:lang w:eastAsia="zh-CN"/>
        </w:rPr>
        <w:t>二、资格审查</w:t>
      </w:r>
    </w:p>
    <w:p>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pStyle w:val="90"/>
        <w:spacing w:line="360" w:lineRule="auto"/>
        <w:ind w:left="142"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
        <w:spacing w:line="360" w:lineRule="auto"/>
        <w:ind w:firstLine="482" w:firstLineChars="200"/>
        <w:rPr>
          <w:color w:val="auto"/>
          <w:sz w:val="24"/>
        </w:rPr>
      </w:pPr>
      <w:r>
        <w:rPr>
          <w:rFonts w:hint="eastAsia" w:hAnsi="宋体" w:cs="宋体"/>
          <w:b/>
          <w:color w:val="auto"/>
          <w:sz w:val="24"/>
          <w:szCs w:val="24"/>
        </w:rPr>
        <w:t>评选工作小组将对通过资格审查合格参选人的报价进行评选，以暂定总价最高者作为中选单位。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p>
    <w:p>
      <w:pPr>
        <w:pStyle w:val="3"/>
        <w:tabs>
          <w:tab w:val="left" w:pos="1632"/>
        </w:tabs>
        <w:spacing w:line="355" w:lineRule="exact"/>
        <w:ind w:left="0"/>
        <w:jc w:val="both"/>
        <w:rPr>
          <w:rFonts w:asciiTheme="minorEastAsia" w:hAnsiTheme="minorEastAsia" w:eastAsiaTheme="minorEastAsia"/>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17"/>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17"/>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17"/>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pStyle w:val="17"/>
        <w:rPr>
          <w:rFonts w:ascii="Times New Roman"/>
          <w:b/>
          <w:bCs/>
          <w:lang w:eastAsia="zh-CN"/>
        </w:rPr>
      </w:pPr>
      <w:r>
        <w:rPr>
          <w:rFonts w:hint="eastAsia" w:ascii="Times New Roman"/>
          <w:b/>
          <w:bCs/>
          <w:lang w:eastAsia="zh-CN"/>
        </w:rPr>
        <w:t>附件一、合同格式书</w:t>
      </w:r>
    </w:p>
    <w:p>
      <w:pPr>
        <w:pStyle w:val="17"/>
        <w:rPr>
          <w:rFonts w:ascii="Times New Roman"/>
          <w:b/>
          <w:bCs/>
          <w:lang w:eastAsia="zh-CN"/>
        </w:rPr>
      </w:pPr>
    </w:p>
    <w:p>
      <w:pPr>
        <w:spacing w:line="480" w:lineRule="exact"/>
        <w:jc w:val="center"/>
        <w:rPr>
          <w:sz w:val="28"/>
          <w:szCs w:val="28"/>
          <w:lang w:eastAsia="zh-CN"/>
        </w:rPr>
      </w:pPr>
      <w:r>
        <w:rPr>
          <w:rFonts w:hint="eastAsia"/>
          <w:sz w:val="28"/>
          <w:szCs w:val="28"/>
          <w:lang w:eastAsia="zh-CN"/>
        </w:rPr>
        <w:t>一般固废物资销售合同</w:t>
      </w:r>
    </w:p>
    <w:tbl>
      <w:tblPr>
        <w:tblStyle w:val="58"/>
        <w:tblW w:w="3827"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合同编号：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签订地点：漳州古雷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签订时间：202</w:t>
            </w:r>
            <w:r>
              <w:rPr>
                <w:rFonts w:hint="eastAsia" w:asciiTheme="minorEastAsia" w:hAnsiTheme="minorEastAsia" w:eastAsiaTheme="minorEastAsia"/>
                <w:sz w:val="21"/>
                <w:szCs w:val="21"/>
                <w:lang w:eastAsia="zh-CN"/>
              </w:rPr>
              <w:t>2</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rPr>
              <w:t>月    日</w:t>
            </w:r>
          </w:p>
        </w:tc>
      </w:tr>
    </w:tbl>
    <w:p>
      <w:pPr>
        <w:spacing w:line="480" w:lineRule="exact"/>
        <w:rPr>
          <w:sz w:val="24"/>
          <w:szCs w:val="24"/>
          <w:lang w:eastAsia="zh-CN"/>
        </w:rPr>
      </w:pPr>
      <w:r>
        <w:rPr>
          <w:rFonts w:hint="eastAsia"/>
          <w:sz w:val="24"/>
          <w:szCs w:val="24"/>
          <w:lang w:eastAsia="zh-CN"/>
        </w:rPr>
        <w:t>甲方：翔鹭石化（漳州）有限公司</w:t>
      </w:r>
    </w:p>
    <w:p>
      <w:pPr>
        <w:spacing w:line="480" w:lineRule="exact"/>
        <w:ind w:firstLine="720" w:firstLineChars="300"/>
        <w:rPr>
          <w:lang w:eastAsia="zh-CN"/>
        </w:rPr>
      </w:pPr>
      <w:r>
        <w:rPr>
          <w:rFonts w:hint="eastAsia"/>
          <w:sz w:val="24"/>
          <w:szCs w:val="24"/>
          <w:lang w:eastAsia="zh-CN"/>
        </w:rPr>
        <w:t>翔鹭码头投资管理（漳州）有限公司</w:t>
      </w:r>
      <w:r>
        <w:rPr>
          <w:rFonts w:hint="eastAsia"/>
          <w:lang w:eastAsia="zh-CN"/>
        </w:rPr>
        <w:t xml:space="preserve"> </w:t>
      </w:r>
    </w:p>
    <w:p>
      <w:pPr>
        <w:spacing w:line="480" w:lineRule="exact"/>
        <w:ind w:firstLine="720" w:firstLineChars="300"/>
        <w:rPr>
          <w:sz w:val="24"/>
          <w:szCs w:val="24"/>
          <w:lang w:eastAsia="zh-CN"/>
        </w:rPr>
      </w:pPr>
      <w:r>
        <w:rPr>
          <w:rFonts w:hint="eastAsia"/>
          <w:sz w:val="24"/>
          <w:szCs w:val="24"/>
          <w:lang w:eastAsia="zh-CN"/>
        </w:rPr>
        <w:t xml:space="preserve">腾龙芳烃（漳州）有限公司   </w:t>
      </w:r>
    </w:p>
    <w:p>
      <w:pPr>
        <w:spacing w:line="480" w:lineRule="exact"/>
        <w:rPr>
          <w:sz w:val="24"/>
          <w:szCs w:val="24"/>
          <w:lang w:eastAsia="zh-CN"/>
        </w:rPr>
      </w:pPr>
      <w:r>
        <w:rPr>
          <w:rFonts w:hint="eastAsia"/>
          <w:sz w:val="24"/>
          <w:szCs w:val="24"/>
          <w:lang w:eastAsia="zh-CN"/>
        </w:rPr>
        <w:t>乙方：</w:t>
      </w:r>
      <w:r>
        <w:rPr>
          <w:sz w:val="24"/>
          <w:szCs w:val="24"/>
          <w:lang w:eastAsia="zh-CN"/>
        </w:rPr>
        <w:t xml:space="preserve"> </w:t>
      </w:r>
    </w:p>
    <w:p>
      <w:pPr>
        <w:spacing w:line="480" w:lineRule="exact"/>
        <w:ind w:firstLine="480" w:firstLineChars="200"/>
        <w:rPr>
          <w:sz w:val="24"/>
          <w:szCs w:val="24"/>
          <w:lang w:eastAsia="zh-CN"/>
        </w:rPr>
      </w:pPr>
    </w:p>
    <w:p>
      <w:pPr>
        <w:spacing w:line="480" w:lineRule="exact"/>
        <w:ind w:firstLine="480" w:firstLineChars="200"/>
        <w:rPr>
          <w:sz w:val="24"/>
          <w:szCs w:val="24"/>
          <w:lang w:eastAsia="zh-CN"/>
        </w:rPr>
      </w:pPr>
      <w:r>
        <w:rPr>
          <w:rFonts w:hint="eastAsia"/>
          <w:sz w:val="24"/>
          <w:szCs w:val="24"/>
          <w:lang w:eastAsia="zh-CN"/>
        </w:rPr>
        <w:t>依照《中华人民共和国民法典》及其他有关法律、法规，遵循平等、自愿、公平和诚实信用原则，双方就</w:t>
      </w:r>
      <w:r>
        <w:rPr>
          <w:rFonts w:hint="eastAsia"/>
          <w:sz w:val="24"/>
          <w:szCs w:val="24"/>
          <w:u w:val="single"/>
          <w:lang w:eastAsia="zh-CN"/>
        </w:rPr>
        <w:t>一般固废物资销售</w:t>
      </w:r>
      <w:r>
        <w:rPr>
          <w:rFonts w:hint="eastAsia"/>
          <w:sz w:val="24"/>
          <w:szCs w:val="24"/>
          <w:lang w:eastAsia="zh-CN"/>
        </w:rPr>
        <w:t>事项，经协商一致，订立本合同。</w:t>
      </w:r>
    </w:p>
    <w:p>
      <w:pPr>
        <w:pStyle w:val="90"/>
        <w:numPr>
          <w:ilvl w:val="0"/>
          <w:numId w:val="3"/>
        </w:numPr>
        <w:spacing w:line="480" w:lineRule="exact"/>
        <w:rPr>
          <w:sz w:val="24"/>
          <w:szCs w:val="24"/>
          <w:lang w:eastAsia="zh-CN"/>
        </w:rPr>
      </w:pPr>
      <w:r>
        <w:rPr>
          <w:rFonts w:hint="eastAsia"/>
          <w:sz w:val="24"/>
          <w:szCs w:val="24"/>
          <w:lang w:eastAsia="zh-CN"/>
        </w:rPr>
        <w:t>废旧物资名称,销售价格：</w:t>
      </w:r>
    </w:p>
    <w:tbl>
      <w:tblPr>
        <w:tblStyle w:val="57"/>
        <w:tblW w:w="9380" w:type="dxa"/>
        <w:tblInd w:w="93" w:type="dxa"/>
        <w:tblLayout w:type="fixed"/>
        <w:tblCellMar>
          <w:top w:w="0" w:type="dxa"/>
          <w:left w:w="108" w:type="dxa"/>
          <w:bottom w:w="0" w:type="dxa"/>
          <w:right w:w="108" w:type="dxa"/>
        </w:tblCellMar>
      </w:tblPr>
      <w:tblGrid>
        <w:gridCol w:w="880"/>
        <w:gridCol w:w="2112"/>
        <w:gridCol w:w="1276"/>
        <w:gridCol w:w="850"/>
        <w:gridCol w:w="1134"/>
        <w:gridCol w:w="1843"/>
        <w:gridCol w:w="1285"/>
      </w:tblGrid>
      <w:tr>
        <w:tblPrEx>
          <w:tblLayout w:type="fixed"/>
          <w:tblCellMar>
            <w:top w:w="0" w:type="dxa"/>
            <w:left w:w="108" w:type="dxa"/>
            <w:bottom w:w="0" w:type="dxa"/>
            <w:right w:w="108" w:type="dxa"/>
          </w:tblCellMar>
        </w:tblPrEx>
        <w:trPr>
          <w:trHeight w:val="420"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序号</w:t>
            </w:r>
          </w:p>
        </w:tc>
        <w:tc>
          <w:tcPr>
            <w:tcW w:w="211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物品名称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暂估</w:t>
            </w:r>
            <w:r>
              <w:rPr>
                <w:rFonts w:hint="eastAsia" w:asciiTheme="minorEastAsia" w:hAnsiTheme="minorEastAsia" w:eastAsiaTheme="minorEastAsia"/>
                <w:color w:val="000000"/>
                <w:sz w:val="24"/>
                <w:szCs w:val="24"/>
              </w:rPr>
              <w:t>数量</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单位</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CN"/>
              </w:rPr>
              <w:t>单价</w:t>
            </w:r>
          </w:p>
        </w:tc>
        <w:tc>
          <w:tcPr>
            <w:tcW w:w="1843"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合计（元）</w:t>
            </w:r>
          </w:p>
        </w:tc>
        <w:tc>
          <w:tcPr>
            <w:tcW w:w="128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备注</w:t>
            </w:r>
          </w:p>
        </w:tc>
      </w:tr>
      <w:tr>
        <w:tblPrEx>
          <w:tblLayout w:type="fixed"/>
          <w:tblCellMar>
            <w:top w:w="0" w:type="dxa"/>
            <w:left w:w="108" w:type="dxa"/>
            <w:bottom w:w="0" w:type="dxa"/>
            <w:right w:w="108" w:type="dxa"/>
          </w:tblCellMar>
        </w:tblPrEx>
        <w:trPr>
          <w:trHeight w:val="42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w:t>
            </w:r>
          </w:p>
        </w:tc>
        <w:tc>
          <w:tcPr>
            <w:tcW w:w="211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废包装袋</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10</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吨</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843"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285" w:type="dxa"/>
            <w:tcBorders>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p>
        </w:tc>
      </w:tr>
      <w:tr>
        <w:tblPrEx>
          <w:tblLayout w:type="fixed"/>
          <w:tblCellMar>
            <w:top w:w="0" w:type="dxa"/>
            <w:left w:w="108" w:type="dxa"/>
            <w:bottom w:w="0" w:type="dxa"/>
            <w:right w:w="108" w:type="dxa"/>
          </w:tblCellMar>
        </w:tblPrEx>
        <w:trPr>
          <w:trHeight w:val="648"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暂定总价（元）</w:t>
            </w:r>
          </w:p>
        </w:tc>
        <w:tc>
          <w:tcPr>
            <w:tcW w:w="6388" w:type="dxa"/>
            <w:gridSpan w:val="5"/>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元</w:t>
            </w:r>
          </w:p>
        </w:tc>
      </w:tr>
    </w:tbl>
    <w:p>
      <w:pPr>
        <w:spacing w:line="480" w:lineRule="exact"/>
        <w:ind w:firstLine="480" w:firstLineChars="200"/>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种销售方式：</w:t>
      </w:r>
    </w:p>
    <w:p>
      <w:pPr>
        <w:spacing w:line="480" w:lineRule="exact"/>
        <w:ind w:firstLine="480" w:firstLineChars="200"/>
        <w:rPr>
          <w:sz w:val="24"/>
          <w:szCs w:val="24"/>
          <w:lang w:eastAsia="zh-CN"/>
        </w:rPr>
      </w:pPr>
      <w:r>
        <w:rPr>
          <w:rFonts w:hint="eastAsia"/>
          <w:sz w:val="24"/>
          <w:szCs w:val="24"/>
          <w:lang w:eastAsia="zh-CN"/>
        </w:rPr>
        <w:t>1、一次性销售；</w:t>
      </w:r>
    </w:p>
    <w:p>
      <w:pPr>
        <w:spacing w:line="480" w:lineRule="exact"/>
        <w:ind w:firstLine="480" w:firstLineChars="200"/>
        <w:rPr>
          <w:sz w:val="24"/>
          <w:szCs w:val="24"/>
          <w:lang w:eastAsia="zh-CN"/>
        </w:rPr>
      </w:pPr>
      <w:r>
        <w:rPr>
          <w:rFonts w:hint="eastAsia"/>
          <w:sz w:val="24"/>
          <w:szCs w:val="24"/>
          <w:lang w:eastAsia="zh-CN"/>
        </w:rPr>
        <w:t>2、合同期限内分批次销售；</w:t>
      </w:r>
    </w:p>
    <w:p>
      <w:pPr>
        <w:spacing w:line="480" w:lineRule="exact"/>
        <w:ind w:firstLine="480" w:firstLineChars="200"/>
        <w:rPr>
          <w:sz w:val="24"/>
          <w:szCs w:val="24"/>
          <w:lang w:eastAsia="zh-CN"/>
        </w:rPr>
      </w:pPr>
      <w:r>
        <w:rPr>
          <w:rFonts w:hint="eastAsia"/>
          <w:sz w:val="24"/>
          <w:szCs w:val="24"/>
          <w:lang w:eastAsia="zh-CN"/>
        </w:rPr>
        <w:t>3、工期：合同签订之日起30个工作日内清运完本合同约定范围内的全部物资。</w:t>
      </w:r>
    </w:p>
    <w:p>
      <w:pPr>
        <w:spacing w:line="480" w:lineRule="exact"/>
        <w:ind w:firstLine="480" w:firstLineChars="200"/>
        <w:rPr>
          <w:sz w:val="24"/>
          <w:szCs w:val="24"/>
          <w:lang w:eastAsia="zh-CN"/>
        </w:rPr>
      </w:pPr>
      <w:r>
        <w:rPr>
          <w:rFonts w:hint="eastAsia"/>
          <w:sz w:val="24"/>
          <w:szCs w:val="24"/>
          <w:lang w:eastAsia="zh-CN"/>
        </w:rPr>
        <w:t>三、结算、交付方式：</w:t>
      </w:r>
    </w:p>
    <w:p>
      <w:pPr>
        <w:spacing w:line="360" w:lineRule="auto"/>
        <w:ind w:firstLine="480" w:firstLineChars="200"/>
        <w:rPr>
          <w:sz w:val="24"/>
          <w:szCs w:val="24"/>
          <w:lang w:eastAsia="zh-CN"/>
        </w:rPr>
      </w:pPr>
      <w:r>
        <w:rPr>
          <w:rFonts w:hint="eastAsia"/>
          <w:sz w:val="24"/>
          <w:szCs w:val="24"/>
          <w:lang w:eastAsia="zh-CN"/>
        </w:rPr>
        <w:t>1、乙方应在收到中选通知书后</w:t>
      </w:r>
      <w:r>
        <w:rPr>
          <w:rFonts w:hint="eastAsia"/>
          <w:sz w:val="24"/>
          <w:szCs w:val="24"/>
          <w:u w:val="single"/>
          <w:lang w:eastAsia="zh-CN"/>
        </w:rPr>
        <w:t xml:space="preserve"> </w:t>
      </w:r>
      <w:r>
        <w:rPr>
          <w:sz w:val="24"/>
          <w:szCs w:val="24"/>
          <w:u w:val="single"/>
          <w:lang w:eastAsia="zh-CN"/>
        </w:rPr>
        <w:t>3</w:t>
      </w:r>
      <w:r>
        <w:rPr>
          <w:rFonts w:hint="eastAsia"/>
          <w:sz w:val="24"/>
          <w:szCs w:val="24"/>
          <w:u w:val="single"/>
          <w:lang w:eastAsia="zh-CN"/>
        </w:rPr>
        <w:t>个工作</w:t>
      </w:r>
      <w:r>
        <w:rPr>
          <w:rFonts w:hint="eastAsia"/>
          <w:sz w:val="24"/>
          <w:szCs w:val="24"/>
          <w:lang w:eastAsia="zh-CN"/>
        </w:rPr>
        <w:t>日内向甲方支付预估量全额货款（即：人民币</w:t>
      </w:r>
      <w:r>
        <w:rPr>
          <w:rFonts w:hint="eastAsia"/>
          <w:sz w:val="24"/>
          <w:szCs w:val="24"/>
          <w:u w:val="single"/>
          <w:lang w:eastAsia="zh-CN"/>
        </w:rPr>
        <w:t xml:space="preserve">      </w:t>
      </w:r>
      <w:r>
        <w:rPr>
          <w:rFonts w:hint="eastAsia"/>
          <w:sz w:val="24"/>
          <w:szCs w:val="24"/>
          <w:lang w:eastAsia="zh-CN"/>
        </w:rPr>
        <w:t>元）。</w:t>
      </w:r>
    </w:p>
    <w:p>
      <w:pPr>
        <w:spacing w:line="480" w:lineRule="exact"/>
        <w:ind w:firstLine="480" w:firstLineChars="200"/>
        <w:rPr>
          <w:sz w:val="24"/>
          <w:szCs w:val="24"/>
          <w:lang w:eastAsia="zh-CN"/>
        </w:rPr>
      </w:pPr>
      <w:r>
        <w:rPr>
          <w:rFonts w:hint="eastAsia"/>
          <w:sz w:val="24"/>
          <w:szCs w:val="24"/>
          <w:lang w:eastAsia="zh-CN"/>
        </w:rPr>
        <w:t>2、乙方提货时如超出预估量数量，</w:t>
      </w:r>
      <w:r>
        <w:rPr>
          <w:sz w:val="24"/>
          <w:szCs w:val="24"/>
          <w:lang w:eastAsia="zh-CN"/>
        </w:rPr>
        <w:t>需先支付超出量的货款方能申请出厂，如清理完毕提货后仍不足预估量</w:t>
      </w:r>
      <w:r>
        <w:rPr>
          <w:rFonts w:hint="eastAsia"/>
          <w:sz w:val="24"/>
          <w:szCs w:val="24"/>
          <w:lang w:eastAsia="zh-CN"/>
        </w:rPr>
        <w:t>数量</w:t>
      </w:r>
      <w:r>
        <w:rPr>
          <w:sz w:val="24"/>
          <w:szCs w:val="24"/>
          <w:lang w:eastAsia="zh-CN"/>
        </w:rPr>
        <w:t>可申请退还多余货款。</w:t>
      </w:r>
    </w:p>
    <w:p>
      <w:pPr>
        <w:spacing w:line="480" w:lineRule="exact"/>
        <w:ind w:firstLine="480" w:firstLineChars="200"/>
        <w:rPr>
          <w:color w:val="FF0000"/>
          <w:sz w:val="24"/>
          <w:szCs w:val="24"/>
          <w:lang w:eastAsia="zh-CN"/>
        </w:rPr>
      </w:pPr>
      <w:r>
        <w:rPr>
          <w:rFonts w:hint="eastAsia"/>
          <w:color w:val="FF0000"/>
          <w:sz w:val="24"/>
          <w:szCs w:val="24"/>
          <w:lang w:eastAsia="zh-CN"/>
        </w:rPr>
        <w:t>3、根据实际销售数量，甲方提供</w:t>
      </w:r>
      <w:r>
        <w:rPr>
          <w:rFonts w:hint="eastAsia" w:ascii="Arial" w:cs="Arial"/>
          <w:color w:val="FF0000"/>
          <w:sz w:val="24"/>
          <w:lang w:eastAsia="zh-CN"/>
        </w:rPr>
        <w:t xml:space="preserve">   增值税专用发票。</w:t>
      </w:r>
    </w:p>
    <w:p>
      <w:pPr>
        <w:spacing w:line="480" w:lineRule="exact"/>
        <w:ind w:firstLine="480" w:firstLineChars="200"/>
        <w:rPr>
          <w:sz w:val="24"/>
          <w:szCs w:val="24"/>
          <w:lang w:eastAsia="zh-CN"/>
        </w:rPr>
      </w:pPr>
      <w:r>
        <w:rPr>
          <w:rFonts w:hint="eastAsia"/>
          <w:sz w:val="24"/>
          <w:szCs w:val="24"/>
          <w:lang w:eastAsia="zh-CN"/>
        </w:rPr>
        <w:t>四、提货方式</w:t>
      </w:r>
    </w:p>
    <w:p>
      <w:pPr>
        <w:spacing w:line="480" w:lineRule="exact"/>
        <w:ind w:firstLine="480" w:firstLineChars="200"/>
        <w:rPr>
          <w:sz w:val="24"/>
          <w:szCs w:val="24"/>
          <w:lang w:eastAsia="zh-CN"/>
        </w:rPr>
      </w:pPr>
      <w:r>
        <w:rPr>
          <w:rFonts w:hint="eastAsia"/>
          <w:sz w:val="24"/>
          <w:szCs w:val="24"/>
          <w:lang w:eastAsia="zh-CN"/>
        </w:rPr>
        <w:t>1、乙方按照本合同约定支付货款后，应根据甲方的提货通知及时提取货物（合同签订后30工作日内全部清运）。</w:t>
      </w:r>
    </w:p>
    <w:p>
      <w:pPr>
        <w:spacing w:line="480" w:lineRule="exact"/>
        <w:ind w:firstLine="480" w:firstLineChars="200"/>
        <w:rPr>
          <w:sz w:val="24"/>
          <w:szCs w:val="24"/>
          <w:lang w:eastAsia="zh-CN"/>
        </w:rPr>
      </w:pPr>
      <w:r>
        <w:rPr>
          <w:rFonts w:hint="eastAsia"/>
          <w:sz w:val="24"/>
          <w:szCs w:val="24"/>
          <w:lang w:eastAsia="zh-CN"/>
        </w:rPr>
        <w:t>2、货物由乙方自备运输工具自提。</w:t>
      </w:r>
    </w:p>
    <w:p>
      <w:pPr>
        <w:spacing w:line="480" w:lineRule="exact"/>
        <w:ind w:firstLine="480" w:firstLineChars="200"/>
        <w:rPr>
          <w:sz w:val="24"/>
          <w:szCs w:val="24"/>
          <w:lang w:eastAsia="zh-CN"/>
        </w:rPr>
      </w:pPr>
      <w:r>
        <w:rPr>
          <w:rFonts w:hint="eastAsia"/>
          <w:sz w:val="24"/>
          <w:szCs w:val="24"/>
          <w:lang w:eastAsia="zh-CN"/>
        </w:rPr>
        <w:t>五、计量方式：货物装车后，应在甲方厂区内的地磅上过磅，实际交付数量以过磅单为准。过磅单由乙方司机签收，乙方认可该签收行为视同乙方对货物的接收以及对交货数量的认可。</w:t>
      </w:r>
    </w:p>
    <w:p>
      <w:pPr>
        <w:spacing w:line="480" w:lineRule="exact"/>
        <w:ind w:firstLine="480" w:firstLineChars="200"/>
        <w:rPr>
          <w:sz w:val="24"/>
          <w:szCs w:val="24"/>
          <w:lang w:eastAsia="zh-CN"/>
        </w:rPr>
      </w:pPr>
      <w:r>
        <w:rPr>
          <w:rFonts w:hint="eastAsia"/>
          <w:sz w:val="24"/>
          <w:szCs w:val="24"/>
          <w:lang w:eastAsia="zh-CN"/>
        </w:rPr>
        <w:t>六、双方责任：</w:t>
      </w:r>
    </w:p>
    <w:p>
      <w:pPr>
        <w:spacing w:line="480" w:lineRule="exact"/>
        <w:ind w:firstLine="480" w:firstLineChars="200"/>
        <w:rPr>
          <w:sz w:val="24"/>
          <w:szCs w:val="24"/>
          <w:lang w:eastAsia="zh-CN"/>
        </w:rPr>
      </w:pPr>
      <w:r>
        <w:rPr>
          <w:rFonts w:hint="eastAsia"/>
          <w:sz w:val="24"/>
          <w:szCs w:val="24"/>
          <w:lang w:eastAsia="zh-CN"/>
        </w:rPr>
        <w:t>（一）甲方责任：</w:t>
      </w:r>
    </w:p>
    <w:p>
      <w:pPr>
        <w:spacing w:line="480" w:lineRule="exact"/>
        <w:ind w:firstLine="480" w:firstLineChars="200"/>
        <w:rPr>
          <w:sz w:val="24"/>
          <w:szCs w:val="24"/>
          <w:lang w:eastAsia="zh-CN"/>
        </w:rPr>
      </w:pPr>
      <w:r>
        <w:rPr>
          <w:rFonts w:hint="eastAsia"/>
          <w:sz w:val="24"/>
          <w:szCs w:val="24"/>
          <w:lang w:eastAsia="zh-CN"/>
        </w:rPr>
        <w:t>1、甲方负责在乙方提货时给予指挥协调，协助乙方及时装运货物。</w:t>
      </w:r>
    </w:p>
    <w:p>
      <w:pPr>
        <w:spacing w:line="480" w:lineRule="exact"/>
        <w:ind w:firstLine="480" w:firstLineChars="20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pPr>
        <w:spacing w:line="480" w:lineRule="exact"/>
        <w:ind w:firstLine="480" w:firstLineChars="200"/>
        <w:rPr>
          <w:sz w:val="24"/>
          <w:szCs w:val="24"/>
          <w:lang w:eastAsia="zh-CN"/>
        </w:rPr>
      </w:pPr>
      <w:r>
        <w:rPr>
          <w:rFonts w:hint="eastAsia"/>
          <w:sz w:val="24"/>
          <w:szCs w:val="24"/>
          <w:lang w:eastAsia="zh-CN"/>
        </w:rPr>
        <w:t>（二）乙方责任：</w:t>
      </w:r>
    </w:p>
    <w:p>
      <w:pPr>
        <w:spacing w:line="480" w:lineRule="exact"/>
        <w:ind w:firstLine="480" w:firstLineChars="200"/>
        <w:rPr>
          <w:sz w:val="24"/>
          <w:szCs w:val="24"/>
          <w:lang w:eastAsia="zh-CN"/>
        </w:rPr>
      </w:pPr>
      <w:r>
        <w:rPr>
          <w:rFonts w:hint="eastAsia"/>
          <w:sz w:val="24"/>
          <w:szCs w:val="24"/>
          <w:lang w:eastAsia="zh-CN"/>
        </w:rPr>
        <w:t>1、乙方应根据甲方现场条件决定所派运输车的数量、吨位和车号，如有更改必须提前通知甲方，经甲方同意后方可进厂提货。</w:t>
      </w:r>
    </w:p>
    <w:p>
      <w:pPr>
        <w:spacing w:line="480" w:lineRule="exact"/>
        <w:ind w:firstLine="480" w:firstLineChars="20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pPr>
        <w:spacing w:line="480" w:lineRule="exact"/>
        <w:ind w:firstLine="480" w:firstLineChars="20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pPr>
        <w:spacing w:line="480" w:lineRule="exact"/>
        <w:ind w:firstLine="480" w:firstLineChars="200"/>
        <w:rPr>
          <w:sz w:val="24"/>
          <w:szCs w:val="24"/>
          <w:lang w:eastAsia="zh-CN"/>
        </w:rPr>
      </w:pPr>
      <w:r>
        <w:rPr>
          <w:rFonts w:hint="eastAsia"/>
          <w:sz w:val="24"/>
          <w:szCs w:val="24"/>
          <w:lang w:eastAsia="zh-CN"/>
        </w:rPr>
        <w:t>七、违约责任：</w:t>
      </w:r>
    </w:p>
    <w:p>
      <w:pPr>
        <w:spacing w:line="480" w:lineRule="exact"/>
        <w:ind w:firstLine="480" w:firstLineChars="200"/>
        <w:rPr>
          <w:sz w:val="24"/>
          <w:szCs w:val="24"/>
          <w:lang w:eastAsia="zh-CN"/>
        </w:rPr>
      </w:pPr>
      <w:r>
        <w:rPr>
          <w:rFonts w:hint="eastAsia"/>
          <w:sz w:val="24"/>
          <w:szCs w:val="24"/>
          <w:lang w:eastAsia="zh-CN"/>
        </w:rPr>
        <w:t>（</w:t>
      </w:r>
      <w:r>
        <w:rPr>
          <w:rFonts w:hint="eastAsia"/>
          <w:sz w:val="24"/>
          <w:szCs w:val="24"/>
          <w:lang w:val="en-US" w:eastAsia="zh-CN"/>
        </w:rPr>
        <w:t>一</w:t>
      </w:r>
      <w:r>
        <w:rPr>
          <w:rFonts w:hint="eastAsia"/>
          <w:sz w:val="24"/>
          <w:szCs w:val="24"/>
          <w:lang w:eastAsia="zh-CN"/>
        </w:rPr>
        <w:t>）乙方如不能根据甲方通知及时提货，或不听从甲方调度指挥、危害甲方安全生产或甲方利益的，给甲方造成的一切损失由乙方负责赔偿，甲方有权每次收取乙方违约金</w:t>
      </w:r>
      <w:r>
        <w:rPr>
          <w:sz w:val="24"/>
          <w:szCs w:val="24"/>
          <w:u w:val="single"/>
          <w:lang w:eastAsia="zh-CN"/>
        </w:rPr>
        <w:t xml:space="preserve">  </w:t>
      </w:r>
      <w:r>
        <w:rPr>
          <w:rFonts w:hint="eastAsia"/>
          <w:sz w:val="24"/>
          <w:szCs w:val="24"/>
          <w:u w:val="single"/>
          <w:lang w:eastAsia="zh-CN"/>
        </w:rPr>
        <w:t xml:space="preserve">壹仟 </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1000</w:t>
      </w:r>
      <w:r>
        <w:rPr>
          <w:rFonts w:hint="eastAsia"/>
          <w:sz w:val="24"/>
          <w:szCs w:val="24"/>
          <w:lang w:eastAsia="zh-CN"/>
        </w:rPr>
        <w:t>元），违约金从乙方缴纳的预付货款中扣除；情节特别严重的，如提货不及时造成甲方仓库满溢或乙方多次违约拒不改正等，甲方有权视情况提前解除合同，并没收乙方已经支付的货款。</w:t>
      </w:r>
    </w:p>
    <w:p>
      <w:pPr>
        <w:spacing w:line="480" w:lineRule="exact"/>
        <w:ind w:firstLine="480" w:firstLineChars="200"/>
        <w:rPr>
          <w:sz w:val="24"/>
          <w:szCs w:val="24"/>
          <w:lang w:eastAsia="zh-CN"/>
        </w:rPr>
      </w:pPr>
      <w:r>
        <w:rPr>
          <w:rFonts w:hint="eastAsia"/>
          <w:sz w:val="24"/>
          <w:szCs w:val="24"/>
          <w:lang w:eastAsia="zh-CN"/>
        </w:rPr>
        <w:t>（</w:t>
      </w:r>
      <w:r>
        <w:rPr>
          <w:rFonts w:hint="eastAsia"/>
          <w:sz w:val="24"/>
          <w:szCs w:val="24"/>
          <w:lang w:val="en-US" w:eastAsia="zh-CN"/>
        </w:rPr>
        <w:t>二</w:t>
      </w:r>
      <w:r>
        <w:rPr>
          <w:rFonts w:hint="eastAsia"/>
          <w:sz w:val="24"/>
          <w:szCs w:val="24"/>
          <w:lang w:eastAsia="zh-CN"/>
        </w:rPr>
        <w:t>）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pPr>
        <w:spacing w:line="480" w:lineRule="exact"/>
        <w:ind w:firstLine="480" w:firstLineChars="200"/>
        <w:rPr>
          <w:sz w:val="24"/>
          <w:szCs w:val="24"/>
          <w:lang w:eastAsia="zh-CN"/>
        </w:rPr>
      </w:pPr>
      <w:r>
        <w:rPr>
          <w:rFonts w:hint="eastAsia"/>
          <w:sz w:val="24"/>
          <w:szCs w:val="24"/>
          <w:lang w:eastAsia="zh-CN"/>
        </w:rPr>
        <w:t>（</w:t>
      </w:r>
      <w:r>
        <w:rPr>
          <w:rFonts w:hint="eastAsia"/>
          <w:sz w:val="24"/>
          <w:szCs w:val="24"/>
          <w:lang w:val="en-US" w:eastAsia="zh-CN"/>
        </w:rPr>
        <w:t>三</w:t>
      </w:r>
      <w:r>
        <w:rPr>
          <w:rFonts w:hint="eastAsia"/>
          <w:sz w:val="24"/>
          <w:szCs w:val="24"/>
          <w:lang w:eastAsia="zh-CN"/>
        </w:rPr>
        <w:t>）乙方无故未按约定提货，甲方连续两次联系乙方无结果，甲方有权提前解除本合同，并没收乙方已经支付的货款。</w:t>
      </w:r>
    </w:p>
    <w:p>
      <w:pPr>
        <w:spacing w:line="480" w:lineRule="exact"/>
        <w:ind w:firstLine="480" w:firstLineChars="200"/>
        <w:rPr>
          <w:sz w:val="24"/>
          <w:szCs w:val="24"/>
          <w:lang w:eastAsia="zh-CN"/>
        </w:rPr>
      </w:pPr>
      <w:r>
        <w:rPr>
          <w:rFonts w:hint="eastAsia"/>
          <w:sz w:val="24"/>
          <w:szCs w:val="24"/>
          <w:lang w:eastAsia="zh-CN"/>
        </w:rPr>
        <w:t>八、本合同期满，如甲方通过公开招标方式选择合作方，乙方可参与投标。</w:t>
      </w:r>
    </w:p>
    <w:p>
      <w:pPr>
        <w:spacing w:line="480" w:lineRule="exact"/>
        <w:ind w:firstLine="480" w:firstLineChars="200"/>
        <w:rPr>
          <w:sz w:val="24"/>
          <w:szCs w:val="24"/>
          <w:lang w:eastAsia="zh-CN"/>
        </w:rPr>
      </w:pPr>
      <w:r>
        <w:rPr>
          <w:rFonts w:hint="eastAsia"/>
          <w:sz w:val="24"/>
          <w:szCs w:val="24"/>
          <w:lang w:eastAsia="zh-CN"/>
        </w:rPr>
        <w:t>九、</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480" w:lineRule="exact"/>
        <w:ind w:firstLine="480" w:firstLineChars="200"/>
        <w:rPr>
          <w:sz w:val="24"/>
          <w:szCs w:val="24"/>
          <w:lang w:eastAsia="zh-CN"/>
        </w:rPr>
      </w:pPr>
      <w:r>
        <w:rPr>
          <w:rFonts w:hint="eastAsia"/>
          <w:sz w:val="24"/>
          <w:szCs w:val="24"/>
          <w:lang w:eastAsia="zh-CN"/>
        </w:rPr>
        <w:t>十、本合同经双方签订后生效。本合同一式六份，甲方四份、乙方两份。履行中如有争议，双方协商解决。如协商不成可诉诸法律，提请甲方所在地法院诉讼解决。</w:t>
      </w:r>
    </w:p>
    <w:p>
      <w:pPr>
        <w:spacing w:line="480" w:lineRule="exact"/>
        <w:ind w:firstLine="480" w:firstLineChars="200"/>
        <w:rPr>
          <w:sz w:val="24"/>
          <w:szCs w:val="24"/>
          <w:lang w:eastAsia="zh-CN"/>
        </w:rPr>
      </w:pPr>
      <w:r>
        <w:rPr>
          <w:rFonts w:hint="eastAsia"/>
          <w:sz w:val="24"/>
          <w:szCs w:val="24"/>
          <w:lang w:eastAsia="zh-CN"/>
        </w:rPr>
        <w:t>十、组成合同文件：</w:t>
      </w:r>
    </w:p>
    <w:p>
      <w:pPr>
        <w:spacing w:line="480" w:lineRule="exact"/>
        <w:ind w:firstLine="465"/>
        <w:rPr>
          <w:sz w:val="24"/>
          <w:szCs w:val="24"/>
          <w:lang w:eastAsia="zh-CN"/>
        </w:rPr>
      </w:pPr>
      <w:r>
        <w:rPr>
          <w:rFonts w:hint="eastAsia"/>
          <w:sz w:val="24"/>
          <w:szCs w:val="24"/>
          <w:lang w:eastAsia="zh-CN"/>
        </w:rPr>
        <w:t>1、本合同书；</w:t>
      </w:r>
    </w:p>
    <w:p>
      <w:pPr>
        <w:spacing w:line="480" w:lineRule="exact"/>
        <w:ind w:firstLine="465"/>
        <w:rPr>
          <w:sz w:val="24"/>
          <w:szCs w:val="24"/>
          <w:lang w:eastAsia="zh-CN"/>
        </w:rPr>
      </w:pPr>
      <w:r>
        <w:rPr>
          <w:rFonts w:hint="eastAsia"/>
          <w:sz w:val="24"/>
          <w:szCs w:val="24"/>
          <w:lang w:eastAsia="zh-CN"/>
        </w:rPr>
        <w:t>2、安全环保协议书</w:t>
      </w:r>
    </w:p>
    <w:p>
      <w:pPr>
        <w:spacing w:line="480" w:lineRule="exact"/>
        <w:rPr>
          <w:sz w:val="24"/>
          <w:szCs w:val="24"/>
          <w:lang w:eastAsia="zh-CN"/>
        </w:rPr>
      </w:pPr>
      <w:r>
        <w:rPr>
          <w:rFonts w:hint="eastAsia"/>
          <w:sz w:val="24"/>
          <w:szCs w:val="24"/>
          <w:lang w:eastAsia="zh-CN"/>
        </w:rPr>
        <w:t xml:space="preserve">    3、中标通知书及乙方投标文件；</w:t>
      </w:r>
    </w:p>
    <w:p>
      <w:pPr>
        <w:spacing w:line="480" w:lineRule="exact"/>
        <w:rPr>
          <w:sz w:val="24"/>
          <w:szCs w:val="24"/>
          <w:lang w:eastAsia="zh-CN"/>
        </w:rPr>
      </w:pPr>
      <w:r>
        <w:rPr>
          <w:sz w:val="24"/>
          <w:szCs w:val="24"/>
          <w:lang w:eastAsia="zh-CN"/>
        </w:rPr>
        <w:t xml:space="preserve"> </w:t>
      </w:r>
      <w:r>
        <w:rPr>
          <w:rFonts w:hint="eastAsia"/>
          <w:sz w:val="24"/>
          <w:szCs w:val="24"/>
          <w:lang w:eastAsia="zh-CN"/>
        </w:rPr>
        <w:t>甲方：翔鹭石化（漳州）有限公司</w:t>
      </w:r>
    </w:p>
    <w:p>
      <w:pPr>
        <w:spacing w:line="480" w:lineRule="exact"/>
        <w:ind w:firstLine="720" w:firstLineChars="300"/>
        <w:rPr>
          <w:sz w:val="24"/>
          <w:szCs w:val="24"/>
          <w:lang w:eastAsia="zh-CN"/>
        </w:rPr>
      </w:pPr>
      <w:r>
        <w:rPr>
          <w:rFonts w:hint="eastAsia"/>
          <w:sz w:val="24"/>
          <w:szCs w:val="24"/>
          <w:lang w:eastAsia="zh-CN"/>
        </w:rPr>
        <w:t xml:space="preserve">翔鹭码头投资管理（漳州）有限公司 </w:t>
      </w:r>
    </w:p>
    <w:p>
      <w:pPr>
        <w:spacing w:line="480" w:lineRule="exact"/>
        <w:ind w:firstLine="720" w:firstLineChars="300"/>
        <w:rPr>
          <w:sz w:val="24"/>
          <w:szCs w:val="24"/>
          <w:lang w:eastAsia="zh-CN"/>
        </w:rPr>
      </w:pPr>
      <w:r>
        <w:rPr>
          <w:rFonts w:hint="eastAsia"/>
          <w:sz w:val="24"/>
          <w:szCs w:val="24"/>
          <w:lang w:eastAsia="zh-CN"/>
        </w:rPr>
        <w:t xml:space="preserve">腾龙芳烃（漳州）有限公司            </w:t>
      </w:r>
      <w:r>
        <w:rPr>
          <w:sz w:val="24"/>
          <w:szCs w:val="24"/>
          <w:lang w:eastAsia="zh-CN"/>
        </w:rPr>
        <w:t xml:space="preserve"> </w:t>
      </w:r>
      <w:r>
        <w:rPr>
          <w:rFonts w:hint="eastAsia"/>
          <w:sz w:val="24"/>
          <w:szCs w:val="24"/>
          <w:lang w:eastAsia="zh-CN"/>
        </w:rPr>
        <w:t xml:space="preserve">乙方： </w:t>
      </w:r>
      <w:r>
        <w:rPr>
          <w:sz w:val="24"/>
          <w:szCs w:val="24"/>
          <w:lang w:eastAsia="zh-CN"/>
        </w:rPr>
        <w:t xml:space="preserve"> </w:t>
      </w:r>
    </w:p>
    <w:p>
      <w:pPr>
        <w:spacing w:line="480" w:lineRule="exact"/>
        <w:ind w:firstLine="720" w:firstLineChars="300"/>
        <w:rPr>
          <w:sz w:val="24"/>
          <w:szCs w:val="24"/>
          <w:lang w:eastAsia="zh-CN"/>
        </w:rPr>
      </w:pPr>
      <w:r>
        <w:rPr>
          <w:rFonts w:hint="eastAsia"/>
          <w:sz w:val="24"/>
          <w:szCs w:val="24"/>
          <w:lang w:eastAsia="zh-CN"/>
        </w:rPr>
        <w:t>（盖章）                            （盖章）</w:t>
      </w:r>
    </w:p>
    <w:p>
      <w:pPr>
        <w:spacing w:line="480" w:lineRule="exact"/>
        <w:ind w:left="5640" w:hanging="5640" w:hangingChars="2350"/>
        <w:rPr>
          <w:sz w:val="24"/>
          <w:szCs w:val="24"/>
          <w:lang w:eastAsia="zh-CN"/>
        </w:rPr>
      </w:pPr>
      <w:r>
        <w:rPr>
          <w:rFonts w:hint="eastAsia"/>
          <w:sz w:val="24"/>
          <w:szCs w:val="24"/>
          <w:lang w:eastAsia="zh-CN"/>
        </w:rPr>
        <w:t>联系地址：古雷经济开发区腾龙路86号</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 xml:space="preserve">联系地址： </w:t>
      </w:r>
    </w:p>
    <w:p>
      <w:pPr>
        <w:spacing w:line="360" w:lineRule="auto"/>
        <w:ind w:left="5520" w:hanging="5520" w:hangingChars="2300"/>
        <w:rPr>
          <w:sz w:val="24"/>
          <w:lang w:eastAsia="zh-CN"/>
        </w:rPr>
      </w:pPr>
      <w:r>
        <w:rPr>
          <w:rFonts w:hint="eastAsia"/>
          <w:sz w:val="24"/>
          <w:lang w:eastAsia="zh-CN"/>
        </w:rPr>
        <w:t>开户银行：</w:t>
      </w:r>
      <w:r>
        <w:rPr>
          <w:rFonts w:hint="eastAsia" w:asciiTheme="minorEastAsia" w:hAnsiTheme="minorEastAsia" w:eastAsiaTheme="minorEastAsia"/>
          <w:color w:val="000000"/>
          <w:sz w:val="24"/>
          <w:lang w:eastAsia="zh-CN"/>
        </w:rPr>
        <w:t xml:space="preserve">                      </w:t>
      </w:r>
      <w:r>
        <w:rPr>
          <w:sz w:val="24"/>
          <w:lang w:eastAsia="zh-CN"/>
        </w:rPr>
        <w:t xml:space="preserve">  </w:t>
      </w:r>
      <w:r>
        <w:rPr>
          <w:rFonts w:hint="eastAsia"/>
          <w:sz w:val="24"/>
          <w:lang w:eastAsia="zh-CN"/>
        </w:rPr>
        <w:t xml:space="preserve">         开户银行：  </w:t>
      </w:r>
    </w:p>
    <w:p>
      <w:pPr>
        <w:spacing w:line="360" w:lineRule="auto"/>
        <w:rPr>
          <w:sz w:val="24"/>
          <w:lang w:eastAsia="zh-CN"/>
        </w:rPr>
      </w:pPr>
      <w:r>
        <w:rPr>
          <w:rFonts w:hint="eastAsia"/>
          <w:sz w:val="24"/>
          <w:lang w:eastAsia="zh-CN"/>
        </w:rPr>
        <w:t>账号：</w:t>
      </w:r>
      <w:r>
        <w:rPr>
          <w:rFonts w:hint="eastAsia" w:asciiTheme="minorEastAsia" w:hAnsiTheme="minorEastAsia" w:eastAsiaTheme="minorEastAsia"/>
          <w:color w:val="000000"/>
          <w:sz w:val="24"/>
          <w:lang w:eastAsia="zh-CN"/>
        </w:rPr>
        <w:t xml:space="preserve">                  </w:t>
      </w:r>
      <w:r>
        <w:rPr>
          <w:sz w:val="24"/>
          <w:lang w:eastAsia="zh-CN"/>
        </w:rPr>
        <w:t xml:space="preserve">              </w:t>
      </w:r>
      <w:r>
        <w:rPr>
          <w:rFonts w:hint="eastAsia"/>
          <w:sz w:val="24"/>
          <w:lang w:eastAsia="zh-CN"/>
        </w:rPr>
        <w:t xml:space="preserve">     账号：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bCs/>
          <w:sz w:val="36"/>
          <w:szCs w:val="36"/>
          <w:lang w:eastAsia="zh-CN"/>
        </w:rPr>
      </w:pPr>
      <w:r>
        <w:rPr>
          <w:rFonts w:hint="eastAsia" w:ascii="微软雅黑" w:hAnsi="微软雅黑" w:eastAsia="微软雅黑"/>
          <w:b/>
          <w:bCs/>
          <w:sz w:val="36"/>
          <w:szCs w:val="36"/>
          <w:lang w:eastAsia="zh-CN"/>
        </w:rPr>
        <w:t>废包装袋销售发包</w:t>
      </w:r>
    </w:p>
    <w:p>
      <w:pPr>
        <w:pStyle w:val="27"/>
        <w:spacing w:line="615" w:lineRule="exact"/>
        <w:rPr>
          <w:rFonts w:hAnsi="宋体" w:cs="方正小标宋简体"/>
          <w:b/>
          <w:sz w:val="36"/>
          <w:szCs w:val="36"/>
          <w:lang w:eastAsia="zh-CN"/>
        </w:rPr>
      </w:pPr>
    </w:p>
    <w:p>
      <w:pPr>
        <w:spacing w:line="480" w:lineRule="auto"/>
        <w:ind w:firstLine="3957" w:firstLineChars="1095"/>
        <w:rPr>
          <w:b/>
          <w:sz w:val="36"/>
          <w:szCs w:val="36"/>
          <w:lang w:eastAsia="zh-CN"/>
        </w:rPr>
      </w:pPr>
      <w:r>
        <w:rPr>
          <w:rFonts w:hint="eastAsia"/>
          <w:b/>
          <w:sz w:val="36"/>
          <w:szCs w:val="36"/>
          <w:lang w:eastAsia="zh-CN"/>
        </w:rPr>
        <w:t>参选</w:t>
      </w:r>
      <w:r>
        <w:rPr>
          <w:b/>
          <w:sz w:val="36"/>
          <w:szCs w:val="36"/>
          <w:lang w:eastAsia="zh-CN"/>
        </w:rPr>
        <w:t>文件</w:t>
      </w:r>
    </w:p>
    <w:p>
      <w:pPr>
        <w:pStyle w:val="2"/>
        <w:spacing w:line="480" w:lineRule="auto"/>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w:t>
      </w:r>
      <w:r>
        <w:rPr>
          <w:rFonts w:hint="eastAsia" w:ascii="Times New Roman" w:hAnsi="Times New Roman"/>
          <w:b/>
          <w:bCs/>
          <w:w w:val="95"/>
          <w:sz w:val="32"/>
          <w:lang w:eastAsia="zh-CN"/>
        </w:rPr>
        <w:t>4</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pP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w:pict>
          <v:shape id="_x0000_s1026" o:spid="_x0000_s1026" o:spt="202" type="#_x0000_t202" style="position:absolute;left:0pt;margin-left:22.75pt;margin-top:11.25pt;height:156.95pt;width:363.2pt;z-index:251659264;mso-width-relative:page;mso-height-relative:page;"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spQ/NkAAAAJAQAADwAAAAAAAAABACAAAAAiAAAAZHJzL2Rvd25yZXYueG1sUEsBAhQAFAAAAAgA&#10;h07iQDa5GqUkAgAAOgQAAA4AAAAAAAAAAQAgAAAAKAEAAGRycy9lMm9Eb2MueG1sUEsFBgAAAAAG&#10;AAYAWQEAAL4FAAAAAA==&#10;">
            <v:path/>
            <v:fill focussize="0,0"/>
            <v:stroke joinstyle="miter"/>
            <v:imagedata o:title=""/>
            <o:lock v:ext="edit"/>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0" w:firstLineChars="0"/>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17"/>
        <w:spacing w:line="480" w:lineRule="exact"/>
        <w:ind w:left="284" w:right="121"/>
        <w:jc w:val="both"/>
        <w:rPr>
          <w:rFonts w:asciiTheme="minorEastAsia" w:hAnsiTheme="minorEastAsia" w:eastAsiaTheme="minorEastAsia"/>
          <w:color w:val="000000" w:themeColor="text1"/>
          <w:shd w:val="clear" w:color="auto" w:fill="FFFFFF"/>
          <w:lang w:eastAsia="zh-CN"/>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u w:val="single"/>
          <w:lang w:eastAsia="zh-CN"/>
        </w:rPr>
        <w:t>废包装袋销售</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eastAsia="zh-CN"/>
        </w:rPr>
        <w:t>2年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93"/>
        <w:spacing w:beforeLines="0" w:afterLines="0" w:line="240" w:lineRule="auto"/>
        <w:rPr>
          <w:rFonts w:cs="Times New Roman"/>
          <w:bCs w:val="0"/>
          <w:color w:val="4E6127"/>
          <w:lang w:eastAsia="zh-CN"/>
        </w:rPr>
      </w:pPr>
    </w:p>
    <w:p>
      <w:pPr>
        <w:pStyle w:val="93"/>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sz w:val="24"/>
          <w:szCs w:val="24"/>
          <w:u w:val="single"/>
          <w:lang w:eastAsia="zh-CN"/>
        </w:rPr>
        <w:sectPr>
          <w:pgSz w:w="11910" w:h="16840"/>
          <w:pgMar w:top="1500" w:right="1278" w:bottom="740" w:left="1300" w:header="0" w:footer="551" w:gutter="0"/>
          <w:cols w:space="720" w:num="1"/>
          <w:docGrid w:linePitch="299" w:charSpace="0"/>
        </w:sectPr>
      </w:pPr>
    </w:p>
    <w:p>
      <w:pPr>
        <w:spacing w:line="360" w:lineRule="auto"/>
        <w:rPr>
          <w:rFonts w:ascii="Times New Roman" w:hAnsi="Times New Roman" w:cs="Times New Roman"/>
          <w:b/>
          <w:sz w:val="36"/>
          <w:szCs w:val="36"/>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spacing w:line="360" w:lineRule="auto"/>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黑体" w:hAnsi="黑体" w:eastAsia="黑体"/>
          <w:bCs/>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废包装袋销售</w:t>
      </w:r>
      <w:r>
        <w:rPr>
          <w:rFonts w:hint="eastAsia" w:ascii="Times New Roman" w:hAnsi="ˎ̥"/>
          <w:sz w:val="28"/>
          <w:szCs w:val="28"/>
          <w:lang w:eastAsia="zh-CN"/>
        </w:rPr>
        <w:t>比选文件的全部内容后，我方愿以以下报价，严格按照自主比选文件的要求，参与本项目的比选。</w:t>
      </w:r>
    </w:p>
    <w:tbl>
      <w:tblPr>
        <w:tblStyle w:val="57"/>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rPr>
                <w:rFonts w:asciiTheme="minorEastAsia" w:hAnsiTheme="minorEastAsia" w:eastAsiaTheme="minorEastAsia"/>
                <w:b/>
                <w:bCs/>
                <w:szCs w:val="21"/>
                <w:lang w:eastAsia="zh-CN"/>
              </w:rPr>
            </w:pPr>
          </w:p>
          <w:p>
            <w:pPr>
              <w:spacing w:line="360" w:lineRule="auto"/>
              <w:ind w:firstLine="1120" w:firstLineChars="400"/>
              <w:rPr>
                <w:rFonts w:ascii="Times New Roman" w:hAnsi="Times New Roman"/>
                <w:sz w:val="28"/>
                <w:szCs w:val="28"/>
                <w:lang w:eastAsia="zh-CN"/>
              </w:rPr>
            </w:pPr>
            <w:r>
              <w:rPr>
                <w:rFonts w:hint="eastAsia" w:ascii="Times New Roman" w:hAnsi="Times New Roman"/>
                <w:sz w:val="28"/>
                <w:szCs w:val="28"/>
                <w:lang w:eastAsia="zh-CN"/>
              </w:rPr>
              <w:t>本项目暂定总价为：</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spacing w:line="360" w:lineRule="auto"/>
              <w:rPr>
                <w:rFonts w:ascii="Times New Roman" w:hAnsi="Times New Roman"/>
                <w:sz w:val="28"/>
                <w:szCs w:val="28"/>
              </w:rPr>
            </w:pPr>
          </w:p>
          <w:p>
            <w:pPr>
              <w:pStyle w:val="2"/>
              <w:spacing w:line="360" w:lineRule="auto"/>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 xml:space="preserve">               以上报价所含增值税类型及税率：</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rPr>
              <w:t xml:space="preserve">   </w:t>
            </w:r>
          </w:p>
          <w:p>
            <w:pPr>
              <w:spacing w:line="360" w:lineRule="auto"/>
              <w:ind w:firstLine="560" w:firstLineChars="200"/>
              <w:rPr>
                <w:rFonts w:ascii="Times New Roman" w:hAnsi="Times New Roman"/>
                <w:sz w:val="28"/>
                <w:szCs w:val="28"/>
                <w:lang w:eastAsia="zh-CN"/>
              </w:rPr>
            </w:pP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p>
          <w:p>
            <w:pPr>
              <w:spacing w:line="360" w:lineRule="auto"/>
              <w:ind w:firstLine="602" w:firstLineChars="200"/>
              <w:rPr>
                <w:b/>
                <w:lang w:eastAsia="zh-CN"/>
              </w:rPr>
            </w:pPr>
            <w:r>
              <w:rPr>
                <w:b/>
                <w:sz w:val="30"/>
                <w:szCs w:val="30"/>
                <w:lang w:eastAsia="zh-CN"/>
              </w:rPr>
              <w:t xml:space="preserve">  备注：报价时</w:t>
            </w:r>
            <w:r>
              <w:rPr>
                <w:rFonts w:hint="eastAsia"/>
                <w:b/>
                <w:sz w:val="30"/>
                <w:szCs w:val="30"/>
                <w:lang w:eastAsia="zh-CN"/>
              </w:rPr>
              <w:t>需按后附具体各项报价清单进行详细报价。本项报价函及后附报价清单作为商务标需单独密封报价。</w:t>
            </w:r>
            <w:r>
              <w:rPr>
                <w:b/>
                <w:sz w:val="30"/>
                <w:szCs w:val="30"/>
                <w:lang w:eastAsia="zh-CN"/>
              </w:rPr>
              <w:t xml:space="preserve">          </w:t>
            </w:r>
            <w:r>
              <w:rPr>
                <w:rFonts w:ascii="Times New Roman" w:hAnsi="Times New Roman"/>
                <w:b/>
                <w:sz w:val="28"/>
                <w:szCs w:val="28"/>
                <w:lang w:eastAsia="zh-CN"/>
              </w:rPr>
              <w:t xml:space="preserve">          </w:t>
            </w:r>
          </w:p>
        </w:tc>
      </w:tr>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spacing w:line="360" w:lineRule="auto"/>
              <w:rPr>
                <w:b/>
                <w:lang w:eastAsia="zh-CN"/>
              </w:rPr>
            </w:pPr>
            <w:r>
              <w:rPr>
                <w:rFonts w:hint="eastAsia" w:asciiTheme="minorEastAsia" w:hAnsiTheme="minorEastAsia" w:eastAsiaTheme="minorEastAsia"/>
                <w:b/>
                <w:bCs/>
                <w:szCs w:val="21"/>
                <w:lang w:eastAsia="zh-CN"/>
              </w:rPr>
              <w:t xml:space="preserve"> </w:t>
            </w:r>
            <w:r>
              <w:rPr>
                <w:rFonts w:asciiTheme="minorEastAsia" w:hAnsiTheme="minorEastAsia" w:eastAsiaTheme="minorEastAsia"/>
                <w:b/>
                <w:bCs/>
                <w:szCs w:val="21"/>
                <w:lang w:eastAsia="zh-CN"/>
              </w:rPr>
              <w:t xml:space="preserve">    </w:t>
            </w: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pPr>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360" w:lineRule="auto"/>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360" w:lineRule="auto"/>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spacing w:line="360" w:lineRule="auto"/>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widowControl/>
        <w:autoSpaceDE/>
        <w:autoSpaceDN/>
        <w:rPr>
          <w:rFonts w:hAnsi="Calibri" w:cs="Times New Roman"/>
          <w:sz w:val="34"/>
          <w:lang w:eastAsia="zh-CN"/>
        </w:rPr>
      </w:pPr>
      <w:r>
        <w:rPr>
          <w:lang w:eastAsia="zh-CN"/>
        </w:rPr>
        <w:br w:type="page"/>
      </w:r>
    </w:p>
    <w:p>
      <w:pPr>
        <w:pStyle w:val="2"/>
        <w:rPr>
          <w:rFonts w:asciiTheme="minorEastAsia" w:hAnsiTheme="minorEastAsia" w:eastAsiaTheme="minorEastAsia"/>
          <w:b/>
          <w:sz w:val="36"/>
          <w:szCs w:val="36"/>
        </w:rPr>
      </w:pPr>
      <w:r>
        <w:rPr>
          <w:rFonts w:hint="eastAsia" w:asciiTheme="minorEastAsia" w:hAnsiTheme="minorEastAsia" w:eastAsiaTheme="minorEastAsia"/>
          <w:b/>
          <w:sz w:val="36"/>
          <w:szCs w:val="36"/>
        </w:rPr>
        <w:t>参选报价单</w:t>
      </w:r>
    </w:p>
    <w:p>
      <w:pPr>
        <w:spacing w:line="520" w:lineRule="exact"/>
        <w:rPr>
          <w:rFonts w:asciiTheme="minorEastAsia" w:hAnsiTheme="minorEastAsia" w:eastAsiaTheme="minorEastAsia"/>
          <w:sz w:val="24"/>
          <w:szCs w:val="24"/>
          <w:lang w:eastAsia="zh-CN"/>
        </w:rPr>
      </w:pPr>
    </w:p>
    <w:p>
      <w:pPr>
        <w:spacing w:line="520" w:lineRule="exact"/>
        <w:rPr>
          <w:rFonts w:asciiTheme="minorEastAsia" w:hAnsiTheme="minorEastAsia" w:eastAsiaTheme="minorEastAsia"/>
          <w:sz w:val="28"/>
          <w:szCs w:val="24"/>
          <w:lang w:eastAsia="zh-CN"/>
        </w:rPr>
      </w:pPr>
    </w:p>
    <w:p>
      <w:pPr>
        <w:tabs>
          <w:tab w:val="left" w:pos="2955"/>
          <w:tab w:val="center" w:pos="4535"/>
        </w:tabs>
        <w:rPr>
          <w:rFonts w:asciiTheme="minorEastAsia" w:hAnsiTheme="minorEastAsia" w:eastAsiaTheme="minorEastAsia"/>
          <w:sz w:val="28"/>
          <w:szCs w:val="24"/>
          <w:lang w:eastAsia="zh-CN"/>
        </w:rPr>
      </w:pPr>
      <w:r>
        <w:rPr>
          <w:rFonts w:asciiTheme="minorEastAsia" w:hAnsiTheme="minorEastAsia" w:eastAsiaTheme="minorEastAsia"/>
          <w:b/>
          <w:sz w:val="28"/>
          <w:szCs w:val="24"/>
          <w:lang w:eastAsia="zh-CN"/>
        </w:rPr>
        <w:tab/>
      </w:r>
      <w:r>
        <w:rPr>
          <w:rFonts w:asciiTheme="minorEastAsia" w:hAnsiTheme="minorEastAsia" w:eastAsiaTheme="minorEastAsia"/>
          <w:b/>
          <w:sz w:val="28"/>
          <w:szCs w:val="24"/>
          <w:lang w:eastAsia="zh-CN"/>
        </w:rPr>
        <w:tab/>
      </w:r>
      <w:r>
        <w:rPr>
          <w:rFonts w:hint="eastAsia" w:asciiTheme="minorEastAsia" w:hAnsiTheme="minorEastAsia" w:eastAsiaTheme="minorEastAsia"/>
          <w:b/>
          <w:sz w:val="28"/>
          <w:szCs w:val="24"/>
          <w:lang w:eastAsia="zh-CN"/>
        </w:rPr>
        <w:t>报 价 函</w:t>
      </w:r>
    </w:p>
    <w:tbl>
      <w:tblPr>
        <w:tblStyle w:val="57"/>
        <w:tblW w:w="9380" w:type="dxa"/>
        <w:tblInd w:w="93" w:type="dxa"/>
        <w:tblLayout w:type="fixed"/>
        <w:tblCellMar>
          <w:top w:w="0" w:type="dxa"/>
          <w:left w:w="108" w:type="dxa"/>
          <w:bottom w:w="0" w:type="dxa"/>
          <w:right w:w="108" w:type="dxa"/>
        </w:tblCellMar>
      </w:tblPr>
      <w:tblGrid>
        <w:gridCol w:w="15"/>
        <w:gridCol w:w="865"/>
        <w:gridCol w:w="2112"/>
        <w:gridCol w:w="851"/>
        <w:gridCol w:w="708"/>
        <w:gridCol w:w="1418"/>
        <w:gridCol w:w="1559"/>
        <w:gridCol w:w="1852"/>
      </w:tblGrid>
      <w:tr>
        <w:tblPrEx>
          <w:tblLayout w:type="fixed"/>
          <w:tblCellMar>
            <w:top w:w="0" w:type="dxa"/>
            <w:left w:w="108" w:type="dxa"/>
            <w:bottom w:w="0" w:type="dxa"/>
            <w:right w:w="108" w:type="dxa"/>
          </w:tblCellMar>
        </w:tblPrEx>
        <w:trPr>
          <w:trHeight w:val="420" w:hRule="atLeast"/>
        </w:trPr>
        <w:tc>
          <w:tcPr>
            <w:tcW w:w="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序号</w:t>
            </w:r>
          </w:p>
        </w:tc>
        <w:tc>
          <w:tcPr>
            <w:tcW w:w="211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物品名称</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暂估</w:t>
            </w:r>
            <w:r>
              <w:rPr>
                <w:rFonts w:hint="eastAsia" w:asciiTheme="minorEastAsia" w:hAnsiTheme="minorEastAsia" w:eastAsiaTheme="minorEastAsia"/>
                <w:color w:val="000000"/>
                <w:sz w:val="24"/>
                <w:szCs w:val="24"/>
              </w:rPr>
              <w:t>数量</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单位</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CN"/>
              </w:rPr>
              <w:t>单价</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合计（元）</w:t>
            </w:r>
          </w:p>
        </w:tc>
        <w:tc>
          <w:tcPr>
            <w:tcW w:w="18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备注</w:t>
            </w:r>
          </w:p>
        </w:tc>
      </w:tr>
      <w:tr>
        <w:tblPrEx>
          <w:tblLayout w:type="fixed"/>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w:t>
            </w:r>
          </w:p>
        </w:tc>
        <w:tc>
          <w:tcPr>
            <w:tcW w:w="211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废包装袋</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10</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吨</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85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p>
        </w:tc>
      </w:tr>
      <w:tr>
        <w:tblPrEx>
          <w:tblLayout w:type="fixed"/>
          <w:tblCellMar>
            <w:top w:w="0" w:type="dxa"/>
            <w:left w:w="108" w:type="dxa"/>
            <w:bottom w:w="0" w:type="dxa"/>
            <w:right w:w="108" w:type="dxa"/>
          </w:tblCellMar>
        </w:tblPrEx>
        <w:trPr>
          <w:trHeight w:val="648"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暂定总价（元）</w:t>
            </w:r>
          </w:p>
        </w:tc>
        <w:tc>
          <w:tcPr>
            <w:tcW w:w="6388" w:type="dxa"/>
            <w:gridSpan w:val="5"/>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trHeight w:val="1706" w:hRule="atLeast"/>
        </w:trPr>
        <w:tc>
          <w:tcPr>
            <w:tcW w:w="9365" w:type="dxa"/>
            <w:gridSpan w:val="7"/>
            <w:shd w:val="clear" w:color="auto" w:fill="auto"/>
          </w:tcPr>
          <w:p>
            <w:pPr>
              <w:widowControl/>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说明：</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交货地点：漳州市古雷经济开发区福海创腾龙芳烃、翔鹭石化、翔鹭码头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 xml:space="preserve">交货时间：合同签订后30工作日内全部清运。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 xml:space="preserve">发票：报价为含税价；销售方出具 </w:t>
            </w:r>
            <w:r>
              <w:rPr>
                <w:rFonts w:hint="eastAsia" w:cs="Arial" w:asciiTheme="minorEastAsia" w:hAnsiTheme="minorEastAsia" w:eastAsiaTheme="minorEastAsia"/>
                <w:sz w:val="24"/>
                <w:szCs w:val="24"/>
                <w:lang w:val="en-US" w:eastAsia="zh-CN"/>
              </w:rPr>
              <w:t xml:space="preserve"> </w:t>
            </w:r>
            <w:r>
              <w:rPr>
                <w:rFonts w:hint="eastAsia" w:cs="Arial" w:asciiTheme="minorEastAsia" w:hAnsiTheme="minorEastAsia" w:eastAsiaTheme="minorEastAsia"/>
                <w:sz w:val="24"/>
                <w:szCs w:val="24"/>
                <w:lang w:eastAsia="zh-CN"/>
              </w:rPr>
              <w:t>增值税专用发票。</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付款条件：收到中标通知后，3天内预付报价总价100%货款，结款以实际重量多退少补。重量依据（销售方过磅室过磅单为准）</w:t>
            </w:r>
          </w:p>
          <w:p>
            <w:pPr>
              <w:widowControl/>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 xml:space="preserve"> </w:t>
            </w:r>
          </w:p>
        </w:tc>
      </w:tr>
    </w:tbl>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参选单位盖章：</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 xml:space="preserve">参选单位代表签字： </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日期：</w:t>
      </w:r>
    </w:p>
    <w:p>
      <w:pPr>
        <w:spacing w:line="360" w:lineRule="auto"/>
        <w:rPr>
          <w:b/>
          <w:sz w:val="24"/>
          <w:szCs w:val="24"/>
          <w:lang w:eastAsia="zh-CN"/>
        </w:rPr>
      </w:pPr>
    </w:p>
    <w:p>
      <w:pPr>
        <w:spacing w:line="360" w:lineRule="auto"/>
        <w:rPr>
          <w:rFonts w:asciiTheme="minorEastAsia" w:hAnsiTheme="minorEastAsia" w:eastAsiaTheme="minorEastAsia"/>
          <w:sz w:val="24"/>
          <w:szCs w:val="24"/>
          <w:lang w:eastAsia="zh-CN"/>
        </w:rPr>
      </w:pPr>
      <w:r>
        <w:rPr>
          <w:rFonts w:hint="eastAsia"/>
          <w:b/>
          <w:sz w:val="24"/>
          <w:szCs w:val="24"/>
          <w:lang w:eastAsia="zh-CN"/>
        </w:rPr>
        <w:t>说明：本报价含税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Layout w:type="fixed"/>
        <w:tblCellMar>
          <w:top w:w="0" w:type="dxa"/>
          <w:left w:w="108" w:type="dxa"/>
          <w:bottom w:w="0" w:type="dxa"/>
          <w:right w:w="108" w:type="dxa"/>
        </w:tblCellMar>
      </w:tblPrEx>
      <w:trPr>
        <w:trHeight w:val="151" w:hRule="atLeast"/>
      </w:trPr>
      <w:tc>
        <w:tcPr>
          <w:tcW w:w="4097" w:type="dxa"/>
          <w:tcBorders>
            <w:bottom w:val="single" w:color="4F81BD" w:themeColor="accent1" w:sz="4" w:space="0"/>
          </w:tcBorders>
        </w:tcPr>
        <w:p>
          <w:pPr>
            <w:pStyle w:val="33"/>
            <w:rPr>
              <w:rFonts w:asciiTheme="majorHAnsi" w:hAnsiTheme="majorHAnsi" w:eastAsiaTheme="majorEastAsia" w:cstheme="majorBidi"/>
              <w:b/>
              <w:bCs/>
            </w:rPr>
          </w:pPr>
        </w:p>
      </w:tc>
      <w:tc>
        <w:tcPr>
          <w:tcW w:w="911" w:type="dxa"/>
          <w:vMerge w:val="restart"/>
          <w:vAlign w:val="center"/>
        </w:tcPr>
        <w:p>
          <w:pPr>
            <w:pStyle w:val="10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3</w:t>
          </w:r>
          <w:r>
            <w:rPr>
              <w:rFonts w:asciiTheme="majorHAnsi" w:hAnsiTheme="majorHAnsi"/>
              <w:b/>
              <w:lang w:val="zh-CN"/>
            </w:rPr>
            <w:fldChar w:fldCharType="end"/>
          </w:r>
        </w:p>
      </w:tc>
      <w:tc>
        <w:tcPr>
          <w:tcW w:w="4098" w:type="dxa"/>
          <w:tcBorders>
            <w:bottom w:val="single" w:color="4F81BD" w:themeColor="accent1" w:sz="4" w:space="0"/>
          </w:tcBorders>
        </w:tcPr>
        <w:p>
          <w:pPr>
            <w:pStyle w:val="33"/>
            <w:rPr>
              <w:rFonts w:asciiTheme="majorHAnsi" w:hAnsiTheme="majorHAnsi" w:eastAsiaTheme="majorEastAsia" w:cstheme="majorBidi"/>
              <w:b/>
              <w:bCs/>
            </w:rPr>
          </w:pPr>
        </w:p>
      </w:tc>
    </w:tr>
    <w:tr>
      <w:tblPrEx>
        <w:tblLayout w:type="fixed"/>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3"/>
            <w:rPr>
              <w:rFonts w:asciiTheme="majorHAnsi" w:hAnsiTheme="majorHAnsi" w:eastAsiaTheme="majorEastAsia" w:cstheme="majorBidi"/>
              <w:b/>
              <w:bCs/>
            </w:rPr>
          </w:pPr>
        </w:p>
      </w:tc>
      <w:tc>
        <w:tcPr>
          <w:tcW w:w="911" w:type="dxa"/>
          <w:vMerge w:val="continue"/>
        </w:tcPr>
        <w:p>
          <w:pPr>
            <w:pStyle w:val="33"/>
            <w:jc w:val="center"/>
            <w:rPr>
              <w:rFonts w:asciiTheme="majorHAnsi" w:hAnsiTheme="majorHAnsi" w:eastAsiaTheme="majorEastAsia" w:cstheme="majorBidi"/>
              <w:b/>
              <w:bCs/>
            </w:rPr>
          </w:pPr>
        </w:p>
      </w:tc>
      <w:tc>
        <w:tcPr>
          <w:tcW w:w="4098" w:type="dxa"/>
          <w:tcBorders>
            <w:top w:val="single" w:color="4F81BD" w:themeColor="accent1" w:sz="4" w:space="0"/>
          </w:tcBorders>
        </w:tcPr>
        <w:p>
          <w:pPr>
            <w:pStyle w:val="33"/>
            <w:rPr>
              <w:rFonts w:asciiTheme="majorHAnsi" w:hAnsiTheme="majorHAnsi" w:eastAsiaTheme="majorEastAsia" w:cstheme="majorBidi"/>
              <w:b/>
              <w:bCs/>
            </w:rPr>
          </w:pPr>
        </w:p>
      </w:tc>
    </w:tr>
  </w:tbl>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2" o:spid="_x0000_s2050"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CsB9Wn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1"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A3cjs3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D56"/>
    <w:multiLevelType w:val="multilevel"/>
    <w:tmpl w:val="2ECE4D5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2">
    <w:nsid w:val="62E3796E"/>
    <w:multiLevelType w:val="multilevel"/>
    <w:tmpl w:val="62E379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14B10B1"/>
    <w:multiLevelType w:val="multilevel"/>
    <w:tmpl w:val="714B10B1"/>
    <w:lvl w:ilvl="0" w:tentative="0">
      <w:start w:val="1"/>
      <w:numFmt w:val="japaneseCounting"/>
      <w:lvlText w:val="%1、"/>
      <w:lvlJc w:val="left"/>
      <w:pPr>
        <w:ind w:left="963" w:hanging="480"/>
      </w:pPr>
      <w:rPr>
        <w:rFonts w:hint="default"/>
      </w:rPr>
    </w:lvl>
    <w:lvl w:ilvl="1" w:tentative="0">
      <w:start w:val="1"/>
      <w:numFmt w:val="lowerLetter"/>
      <w:lvlText w:val="%2)"/>
      <w:lvlJc w:val="left"/>
      <w:pPr>
        <w:ind w:left="1323" w:hanging="420"/>
      </w:pPr>
    </w:lvl>
    <w:lvl w:ilvl="2" w:tentative="0">
      <w:start w:val="1"/>
      <w:numFmt w:val="lowerRoman"/>
      <w:lvlText w:val="%3."/>
      <w:lvlJc w:val="right"/>
      <w:pPr>
        <w:ind w:left="1743" w:hanging="420"/>
      </w:pPr>
    </w:lvl>
    <w:lvl w:ilvl="3" w:tentative="0">
      <w:start w:val="1"/>
      <w:numFmt w:val="decimal"/>
      <w:lvlText w:val="%4."/>
      <w:lvlJc w:val="left"/>
      <w:pPr>
        <w:ind w:left="2163" w:hanging="420"/>
      </w:pPr>
    </w:lvl>
    <w:lvl w:ilvl="4" w:tentative="0">
      <w:start w:val="1"/>
      <w:numFmt w:val="lowerLetter"/>
      <w:lvlText w:val="%5)"/>
      <w:lvlJc w:val="left"/>
      <w:pPr>
        <w:ind w:left="2583" w:hanging="420"/>
      </w:pPr>
    </w:lvl>
    <w:lvl w:ilvl="5" w:tentative="0">
      <w:start w:val="1"/>
      <w:numFmt w:val="lowerRoman"/>
      <w:lvlText w:val="%6."/>
      <w:lvlJc w:val="right"/>
      <w:pPr>
        <w:ind w:left="3003" w:hanging="420"/>
      </w:pPr>
    </w:lvl>
    <w:lvl w:ilvl="6" w:tentative="0">
      <w:start w:val="1"/>
      <w:numFmt w:val="decimal"/>
      <w:lvlText w:val="%7."/>
      <w:lvlJc w:val="left"/>
      <w:pPr>
        <w:ind w:left="3423" w:hanging="420"/>
      </w:pPr>
    </w:lvl>
    <w:lvl w:ilvl="7" w:tentative="0">
      <w:start w:val="1"/>
      <w:numFmt w:val="lowerLetter"/>
      <w:lvlText w:val="%8)"/>
      <w:lvlJc w:val="left"/>
      <w:pPr>
        <w:ind w:left="3843" w:hanging="420"/>
      </w:pPr>
    </w:lvl>
    <w:lvl w:ilvl="8" w:tentative="0">
      <w:start w:val="1"/>
      <w:numFmt w:val="lowerRoman"/>
      <w:lvlText w:val="%9."/>
      <w:lvlJc w:val="right"/>
      <w:pPr>
        <w:ind w:left="4263"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21A2"/>
    <w:rsid w:val="00020E00"/>
    <w:rsid w:val="0004556D"/>
    <w:rsid w:val="00097A46"/>
    <w:rsid w:val="000B21A2"/>
    <w:rsid w:val="000D4131"/>
    <w:rsid w:val="000F289A"/>
    <w:rsid w:val="001610AD"/>
    <w:rsid w:val="001C2A22"/>
    <w:rsid w:val="00210BFD"/>
    <w:rsid w:val="00250C11"/>
    <w:rsid w:val="002C0493"/>
    <w:rsid w:val="003642C3"/>
    <w:rsid w:val="00383409"/>
    <w:rsid w:val="003B3F77"/>
    <w:rsid w:val="003E2A51"/>
    <w:rsid w:val="00407C4F"/>
    <w:rsid w:val="0045326B"/>
    <w:rsid w:val="004A4803"/>
    <w:rsid w:val="00501D1B"/>
    <w:rsid w:val="0052407B"/>
    <w:rsid w:val="00530B2E"/>
    <w:rsid w:val="00551F2B"/>
    <w:rsid w:val="00556516"/>
    <w:rsid w:val="0058147E"/>
    <w:rsid w:val="006A25F8"/>
    <w:rsid w:val="006C5045"/>
    <w:rsid w:val="00720A10"/>
    <w:rsid w:val="007A0440"/>
    <w:rsid w:val="008467D9"/>
    <w:rsid w:val="0089708F"/>
    <w:rsid w:val="00906062"/>
    <w:rsid w:val="00916DBD"/>
    <w:rsid w:val="00967408"/>
    <w:rsid w:val="009D2E12"/>
    <w:rsid w:val="00A07F69"/>
    <w:rsid w:val="00BA4F37"/>
    <w:rsid w:val="00BB2CE3"/>
    <w:rsid w:val="00BE45D1"/>
    <w:rsid w:val="00C35988"/>
    <w:rsid w:val="00CB32B2"/>
    <w:rsid w:val="00CB3E8D"/>
    <w:rsid w:val="00D46778"/>
    <w:rsid w:val="00D77F8C"/>
    <w:rsid w:val="00D90272"/>
    <w:rsid w:val="00DE4E86"/>
    <w:rsid w:val="00DE6EB0"/>
    <w:rsid w:val="00E357A8"/>
    <w:rsid w:val="00E5636D"/>
    <w:rsid w:val="00E72AC5"/>
    <w:rsid w:val="00E801C4"/>
    <w:rsid w:val="00ED11F5"/>
    <w:rsid w:val="00EF0D74"/>
    <w:rsid w:val="00F025ED"/>
    <w:rsid w:val="00F05DAE"/>
    <w:rsid w:val="00F42F43"/>
    <w:rsid w:val="0377544F"/>
    <w:rsid w:val="05872243"/>
    <w:rsid w:val="09976431"/>
    <w:rsid w:val="0AB0031F"/>
    <w:rsid w:val="0D807E63"/>
    <w:rsid w:val="0DB539BD"/>
    <w:rsid w:val="11444B30"/>
    <w:rsid w:val="13277FC2"/>
    <w:rsid w:val="15644BD9"/>
    <w:rsid w:val="160200C6"/>
    <w:rsid w:val="17FF534C"/>
    <w:rsid w:val="1D9A588C"/>
    <w:rsid w:val="211E52E5"/>
    <w:rsid w:val="21982EC2"/>
    <w:rsid w:val="256C102C"/>
    <w:rsid w:val="294D0126"/>
    <w:rsid w:val="2B5B06BF"/>
    <w:rsid w:val="2B7A381A"/>
    <w:rsid w:val="2C6D7039"/>
    <w:rsid w:val="2D1F37E0"/>
    <w:rsid w:val="2F1472D4"/>
    <w:rsid w:val="2F7119A7"/>
    <w:rsid w:val="33937241"/>
    <w:rsid w:val="34002AAD"/>
    <w:rsid w:val="35332B89"/>
    <w:rsid w:val="364A3B8B"/>
    <w:rsid w:val="36501712"/>
    <w:rsid w:val="36D760B5"/>
    <w:rsid w:val="3AA82CA6"/>
    <w:rsid w:val="3C2D6D57"/>
    <w:rsid w:val="4426585F"/>
    <w:rsid w:val="475D0154"/>
    <w:rsid w:val="49161E6C"/>
    <w:rsid w:val="4BB95558"/>
    <w:rsid w:val="51D50390"/>
    <w:rsid w:val="547B4BEE"/>
    <w:rsid w:val="5873407A"/>
    <w:rsid w:val="58B75AF0"/>
    <w:rsid w:val="5C417AEF"/>
    <w:rsid w:val="6A733E40"/>
    <w:rsid w:val="6CAF4C0A"/>
    <w:rsid w:val="6D4F4F4E"/>
    <w:rsid w:val="70F63F84"/>
    <w:rsid w:val="71376EE4"/>
    <w:rsid w:val="754810F4"/>
    <w:rsid w:val="7A6F2C01"/>
    <w:rsid w:val="7E81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85"/>
    <w:qFormat/>
    <w:uiPriority w:val="0"/>
    <w:pPr>
      <w:widowControl/>
    </w:pPr>
    <w:rPr>
      <w:b/>
      <w:bCs/>
      <w:sz w:val="24"/>
      <w:szCs w:val="24"/>
    </w:rPr>
  </w:style>
  <w:style w:type="paragraph" w:styleId="14">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paragraph" w:styleId="17">
    <w:name w:val="Body Text"/>
    <w:basedOn w:val="1"/>
    <w:link w:val="88"/>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20">
    <w:name w:val="Document Map"/>
    <w:basedOn w:val="1"/>
    <w:link w:val="68"/>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21">
    <w:name w:val="Body Text 3"/>
    <w:basedOn w:val="1"/>
    <w:link w:val="7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22">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73"/>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4"/>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75"/>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30">
    <w:name w:val="Body Text Indent 2"/>
    <w:basedOn w:val="1"/>
    <w:link w:val="76"/>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31">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2">
    <w:name w:val="footer"/>
    <w:basedOn w:val="1"/>
    <w:link w:val="78"/>
    <w:qFormat/>
    <w:uiPriority w:val="99"/>
    <w:pPr>
      <w:tabs>
        <w:tab w:val="center" w:pos="4153"/>
        <w:tab w:val="right" w:pos="8306"/>
      </w:tabs>
      <w:snapToGrid w:val="0"/>
    </w:pPr>
    <w:rPr>
      <w:sz w:val="18"/>
      <w:szCs w:val="18"/>
    </w:rPr>
  </w:style>
  <w:style w:type="paragraph" w:styleId="33">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3">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99"/>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eastAsia="宋体" w:cs="宋体"/>
      <w:b/>
      <w:bCs/>
      <w:kern w:val="0"/>
      <w:sz w:val="28"/>
      <w:szCs w:val="28"/>
      <w:lang w:eastAsia="en-US"/>
    </w:rPr>
  </w:style>
  <w:style w:type="character" w:customStyle="1" w:styleId="60">
    <w:name w:val="标题 2 Char"/>
    <w:basedOn w:val="46"/>
    <w:link w:val="4"/>
    <w:qFormat/>
    <w:uiPriority w:val="0"/>
    <w:rPr>
      <w:rFonts w:ascii="宋体" w:hAnsi="宋体" w:eastAsia="宋体" w:cs="宋体"/>
      <w:b/>
      <w:bCs/>
      <w:kern w:val="0"/>
      <w:sz w:val="24"/>
      <w:szCs w:val="24"/>
      <w:lang w:eastAsia="en-US"/>
    </w:rPr>
  </w:style>
  <w:style w:type="character" w:customStyle="1" w:styleId="61">
    <w:name w:val="标题 3 Char"/>
    <w:basedOn w:val="46"/>
    <w:link w:val="5"/>
    <w:qFormat/>
    <w:uiPriority w:val="0"/>
    <w:rPr>
      <w:rFonts w:ascii="Times New Roman" w:hAnsi="Times New Roman" w:eastAsia="宋体" w:cs="Times New Roman"/>
      <w:b/>
      <w:bCs/>
      <w:sz w:val="32"/>
      <w:szCs w:val="32"/>
    </w:rPr>
  </w:style>
  <w:style w:type="character" w:customStyle="1" w:styleId="62">
    <w:name w:val="标题 4 Char"/>
    <w:basedOn w:val="46"/>
    <w:link w:val="6"/>
    <w:qFormat/>
    <w:uiPriority w:val="0"/>
    <w:rPr>
      <w:rFonts w:ascii="Times New Roman" w:hAnsi="Times New Roman" w:eastAsia="宋体" w:cs="Times New Roman"/>
      <w:b/>
      <w:sz w:val="24"/>
      <w:szCs w:val="24"/>
    </w:rPr>
  </w:style>
  <w:style w:type="character" w:customStyle="1" w:styleId="63">
    <w:name w:val="标题 5 Char"/>
    <w:basedOn w:val="46"/>
    <w:link w:val="7"/>
    <w:qFormat/>
    <w:uiPriority w:val="0"/>
    <w:rPr>
      <w:rFonts w:ascii="Times New Roman" w:hAnsi="Times New Roman" w:eastAsia="宋体" w:cs="Times New Roman"/>
      <w:b/>
      <w:bCs/>
      <w:sz w:val="28"/>
      <w:szCs w:val="28"/>
    </w:rPr>
  </w:style>
  <w:style w:type="character" w:customStyle="1" w:styleId="64">
    <w:name w:val="标题 6 Char"/>
    <w:basedOn w:val="46"/>
    <w:link w:val="8"/>
    <w:qFormat/>
    <w:uiPriority w:val="0"/>
    <w:rPr>
      <w:rFonts w:ascii="Times New Roman" w:hAnsi="Times New Roman" w:eastAsia="宋体" w:cs="Times New Roman"/>
      <w:b/>
      <w:kern w:val="0"/>
      <w:sz w:val="24"/>
      <w:szCs w:val="20"/>
    </w:rPr>
  </w:style>
  <w:style w:type="character" w:customStyle="1" w:styleId="65">
    <w:name w:val="标题 7 Char"/>
    <w:basedOn w:val="46"/>
    <w:link w:val="9"/>
    <w:qFormat/>
    <w:uiPriority w:val="0"/>
    <w:rPr>
      <w:rFonts w:ascii="Times New Roman" w:hAnsi="Times New Roman" w:eastAsia="宋体" w:cs="Times New Roman"/>
      <w:b/>
      <w:sz w:val="24"/>
      <w:szCs w:val="20"/>
    </w:rPr>
  </w:style>
  <w:style w:type="character" w:customStyle="1" w:styleId="66">
    <w:name w:val="标题 8 Char"/>
    <w:basedOn w:val="46"/>
    <w:link w:val="11"/>
    <w:qFormat/>
    <w:uiPriority w:val="0"/>
    <w:rPr>
      <w:rFonts w:ascii="Arial" w:hAnsi="Arial" w:eastAsia="黑体" w:cs="Times New Roman"/>
      <w:sz w:val="24"/>
      <w:szCs w:val="20"/>
    </w:rPr>
  </w:style>
  <w:style w:type="character" w:customStyle="1" w:styleId="67">
    <w:name w:val="标题 9 Char"/>
    <w:basedOn w:val="46"/>
    <w:link w:val="12"/>
    <w:qFormat/>
    <w:uiPriority w:val="0"/>
    <w:rPr>
      <w:rFonts w:ascii="Arial" w:hAnsi="Arial" w:eastAsia="黑体" w:cs="Times New Roman"/>
      <w:szCs w:val="20"/>
    </w:rPr>
  </w:style>
  <w:style w:type="character" w:customStyle="1" w:styleId="68">
    <w:name w:val="文档结构图 Char"/>
    <w:basedOn w:val="46"/>
    <w:link w:val="20"/>
    <w:qFormat/>
    <w:uiPriority w:val="0"/>
    <w:rPr>
      <w:rFonts w:ascii="宋体"/>
      <w:sz w:val="28"/>
      <w:shd w:val="clear" w:color="auto" w:fill="000080"/>
    </w:rPr>
  </w:style>
  <w:style w:type="character" w:customStyle="1" w:styleId="69">
    <w:name w:val="批注文字 Char"/>
    <w:basedOn w:val="46"/>
    <w:link w:val="14"/>
    <w:qFormat/>
    <w:uiPriority w:val="0"/>
  </w:style>
  <w:style w:type="character" w:customStyle="1" w:styleId="70">
    <w:name w:val="正文文本 3 Char"/>
    <w:basedOn w:val="46"/>
    <w:link w:val="21"/>
    <w:qFormat/>
    <w:uiPriority w:val="0"/>
    <w:rPr>
      <w:color w:val="0000FF"/>
      <w:sz w:val="24"/>
      <w:szCs w:val="24"/>
    </w:rPr>
  </w:style>
  <w:style w:type="character" w:customStyle="1" w:styleId="71">
    <w:name w:val="结束语 Char"/>
    <w:basedOn w:val="46"/>
    <w:link w:val="22"/>
    <w:qFormat/>
    <w:uiPriority w:val="0"/>
    <w:rPr>
      <w:rFonts w:ascii="Times New Roman" w:hAnsi="Times New Roman" w:eastAsia="宋体" w:cs="Times New Roman"/>
      <w:b/>
      <w:szCs w:val="20"/>
    </w:rPr>
  </w:style>
  <w:style w:type="character" w:customStyle="1" w:styleId="72">
    <w:name w:val="正文文本 Char"/>
    <w:basedOn w:val="46"/>
    <w:qFormat/>
    <w:uiPriority w:val="0"/>
    <w:rPr>
      <w:rFonts w:ascii="宋体" w:hAnsi="宋体" w:eastAsia="宋体" w:cs="宋体"/>
      <w:kern w:val="0"/>
      <w:sz w:val="22"/>
      <w:lang w:eastAsia="en-US"/>
    </w:rPr>
  </w:style>
  <w:style w:type="character" w:customStyle="1" w:styleId="73">
    <w:name w:val="正文文本缩进 Char"/>
    <w:basedOn w:val="46"/>
    <w:link w:val="23"/>
    <w:qFormat/>
    <w:uiPriority w:val="0"/>
    <w:rPr>
      <w:i/>
      <w:iCs/>
    </w:rPr>
  </w:style>
  <w:style w:type="character" w:customStyle="1" w:styleId="74">
    <w:name w:val="纯文本 Char"/>
    <w:basedOn w:val="46"/>
    <w:link w:val="27"/>
    <w:qFormat/>
    <w:uiPriority w:val="0"/>
    <w:rPr>
      <w:rFonts w:ascii="宋体" w:hAnsi="Courier New" w:eastAsia="宋体" w:cs="Courier New"/>
      <w:kern w:val="0"/>
      <w:sz w:val="22"/>
      <w:szCs w:val="21"/>
      <w:lang w:eastAsia="en-US"/>
    </w:rPr>
  </w:style>
  <w:style w:type="character" w:customStyle="1" w:styleId="75">
    <w:name w:val="日期 Char"/>
    <w:basedOn w:val="46"/>
    <w:link w:val="29"/>
    <w:qFormat/>
    <w:uiPriority w:val="99"/>
    <w:rPr>
      <w:szCs w:val="24"/>
    </w:rPr>
  </w:style>
  <w:style w:type="character" w:customStyle="1" w:styleId="76">
    <w:name w:val="正文文本缩进 2 Char"/>
    <w:basedOn w:val="46"/>
    <w:link w:val="30"/>
    <w:qFormat/>
    <w:uiPriority w:val="0"/>
    <w:rPr>
      <w:rFonts w:ascii="宋体" w:hAnsi="宋体"/>
      <w:iCs/>
      <w:sz w:val="24"/>
      <w:szCs w:val="24"/>
    </w:rPr>
  </w:style>
  <w:style w:type="character" w:customStyle="1" w:styleId="77">
    <w:name w:val="批注框文本 Char"/>
    <w:basedOn w:val="46"/>
    <w:link w:val="31"/>
    <w:qFormat/>
    <w:uiPriority w:val="99"/>
    <w:rPr>
      <w:sz w:val="18"/>
      <w:szCs w:val="18"/>
    </w:rPr>
  </w:style>
  <w:style w:type="character" w:customStyle="1" w:styleId="78">
    <w:name w:val="页脚 Char"/>
    <w:basedOn w:val="46"/>
    <w:link w:val="32"/>
    <w:qFormat/>
    <w:uiPriority w:val="99"/>
    <w:rPr>
      <w:rFonts w:ascii="宋体" w:hAnsi="宋体" w:eastAsia="宋体" w:cs="宋体"/>
      <w:kern w:val="0"/>
      <w:sz w:val="18"/>
      <w:szCs w:val="18"/>
      <w:lang w:eastAsia="en-US"/>
    </w:rPr>
  </w:style>
  <w:style w:type="character" w:customStyle="1" w:styleId="79">
    <w:name w:val="页眉 Char"/>
    <w:basedOn w:val="46"/>
    <w:link w:val="33"/>
    <w:qFormat/>
    <w:uiPriority w:val="99"/>
    <w:rPr>
      <w:rFonts w:ascii="宋体" w:hAnsi="宋体" w:eastAsia="宋体" w:cs="宋体"/>
      <w:kern w:val="0"/>
      <w:sz w:val="18"/>
      <w:lang w:eastAsia="en-US"/>
    </w:rPr>
  </w:style>
  <w:style w:type="character" w:customStyle="1" w:styleId="80">
    <w:name w:val="正文文本缩进 3 Char"/>
    <w:basedOn w:val="46"/>
    <w:link w:val="37"/>
    <w:qFormat/>
    <w:uiPriority w:val="0"/>
    <w:rPr>
      <w:sz w:val="28"/>
    </w:rPr>
  </w:style>
  <w:style w:type="character" w:customStyle="1" w:styleId="81">
    <w:name w:val="正文文本 2 Char"/>
    <w:basedOn w:val="46"/>
    <w:link w:val="40"/>
    <w:qFormat/>
    <w:uiPriority w:val="0"/>
    <w:rPr>
      <w:szCs w:val="24"/>
    </w:rPr>
  </w:style>
  <w:style w:type="character" w:customStyle="1" w:styleId="82">
    <w:name w:val="信息标题 Char"/>
    <w:basedOn w:val="46"/>
    <w:link w:val="41"/>
    <w:qFormat/>
    <w:uiPriority w:val="0"/>
    <w:rPr>
      <w:rFonts w:ascii="Arial" w:hAnsi="Arial" w:eastAsia="宋体" w:cs="Arial"/>
      <w:sz w:val="24"/>
      <w:szCs w:val="24"/>
      <w:shd w:val="pct20" w:color="auto" w:fill="auto"/>
    </w:rPr>
  </w:style>
  <w:style w:type="character" w:customStyle="1" w:styleId="83">
    <w:name w:val="HTML 预设格式 Char"/>
    <w:basedOn w:val="46"/>
    <w:link w:val="42"/>
    <w:qFormat/>
    <w:uiPriority w:val="0"/>
    <w:rPr>
      <w:rFonts w:ascii="Arial Unicode MS" w:hAnsi="Arial Unicode MS" w:eastAsia="Courier New" w:cs="Courier New"/>
    </w:rPr>
  </w:style>
  <w:style w:type="character" w:customStyle="1" w:styleId="84">
    <w:name w:val="标题 Char"/>
    <w:basedOn w:val="46"/>
    <w:link w:val="45"/>
    <w:qFormat/>
    <w:uiPriority w:val="0"/>
    <w:rPr>
      <w:rFonts w:ascii="Arial" w:hAnsi="Arial" w:cs="Arial"/>
      <w:b/>
      <w:bCs/>
      <w:sz w:val="44"/>
      <w:szCs w:val="32"/>
    </w:rPr>
  </w:style>
  <w:style w:type="character" w:customStyle="1" w:styleId="85">
    <w:name w:val="批注主题 Char"/>
    <w:basedOn w:val="69"/>
    <w:link w:val="13"/>
    <w:qFormat/>
    <w:uiPriority w:val="0"/>
    <w:rPr>
      <w:b/>
      <w:bCs/>
      <w:sz w:val="24"/>
      <w:szCs w:val="24"/>
    </w:rPr>
  </w:style>
  <w:style w:type="character" w:customStyle="1" w:styleId="86">
    <w:name w:val="正文首行缩进 Char"/>
    <w:basedOn w:val="72"/>
    <w:link w:val="16"/>
    <w:qFormat/>
    <w:uiPriority w:val="0"/>
    <w:rPr>
      <w:rFonts w:ascii="宋体" w:hAnsi="宋体" w:eastAsia="宋体" w:cs="宋体"/>
      <w:kern w:val="0"/>
      <w:sz w:val="22"/>
      <w:szCs w:val="21"/>
      <w:lang w:eastAsia="en-US"/>
    </w:rPr>
  </w:style>
  <w:style w:type="character" w:customStyle="1" w:styleId="87">
    <w:name w:val="正文缩进 Char"/>
    <w:basedOn w:val="46"/>
    <w:link w:val="10"/>
    <w:qFormat/>
    <w:uiPriority w:val="0"/>
    <w:rPr>
      <w:rFonts w:ascii="Times New Roman" w:hAnsi="Times New Roman" w:eastAsia="宋体" w:cs="Times New Roman"/>
      <w:kern w:val="0"/>
      <w:sz w:val="24"/>
      <w:szCs w:val="20"/>
    </w:rPr>
  </w:style>
  <w:style w:type="character" w:customStyle="1" w:styleId="88">
    <w:name w:val="正文文本 Char1"/>
    <w:basedOn w:val="46"/>
    <w:link w:val="17"/>
    <w:qFormat/>
    <w:uiPriority w:val="1"/>
    <w:rPr>
      <w:rFonts w:ascii="宋体" w:hAnsi="宋体" w:eastAsia="宋体" w:cs="宋体"/>
      <w:kern w:val="0"/>
      <w:sz w:val="24"/>
      <w:szCs w:val="24"/>
      <w:lang w:eastAsia="en-US"/>
    </w:rPr>
  </w:style>
  <w:style w:type="table" w:customStyle="1" w:styleId="89">
    <w:name w:val="Table Normal"/>
    <w:unhideWhenUsed/>
    <w:qFormat/>
    <w:uiPriority w:val="2"/>
    <w:tblPr>
      <w:tblLayout w:type="fixed"/>
      <w:tblCellMar>
        <w:top w:w="0" w:type="dxa"/>
        <w:left w:w="0" w:type="dxa"/>
        <w:bottom w:w="0" w:type="dxa"/>
        <w:right w:w="0" w:type="dxa"/>
      </w:tblCellMar>
    </w:tblPr>
  </w:style>
  <w:style w:type="paragraph" w:customStyle="1" w:styleId="90">
    <w:name w:val="列出段落1"/>
    <w:basedOn w:val="1"/>
    <w:link w:val="91"/>
    <w:qFormat/>
    <w:uiPriority w:val="34"/>
    <w:pPr>
      <w:spacing w:before="206"/>
      <w:ind w:left="959" w:hanging="361"/>
    </w:pPr>
  </w:style>
  <w:style w:type="character" w:customStyle="1" w:styleId="91">
    <w:name w:val="列出段落 Char"/>
    <w:link w:val="90"/>
    <w:qFormat/>
    <w:uiPriority w:val="0"/>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普通(网站) Char"/>
    <w:basedOn w:val="46"/>
    <w:link w:val="43"/>
    <w:qFormat/>
    <w:locked/>
    <w:uiPriority w:val="0"/>
    <w:rPr>
      <w:rFonts w:ascii="宋体" w:hAnsi="宋体" w:eastAsia="宋体" w:cs="宋体"/>
      <w:kern w:val="0"/>
      <w:sz w:val="24"/>
      <w:szCs w:val="24"/>
    </w:rPr>
  </w:style>
  <w:style w:type="character" w:customStyle="1" w:styleId="97">
    <w:name w:val="xdrichtextbox2"/>
    <w:basedOn w:val="46"/>
    <w:qFormat/>
    <w:uiPriority w:val="0"/>
    <w:rPr>
      <w:color w:val="0000FF"/>
      <w:sz w:val="18"/>
      <w:szCs w:val="18"/>
      <w:u w:val="none"/>
      <w:bdr w:val="single" w:color="DCDCDC" w:sz="8" w:space="0"/>
      <w:shd w:val="clear" w:color="auto" w:fill="FFFFFF"/>
    </w:rPr>
  </w:style>
  <w:style w:type="character" w:customStyle="1" w:styleId="98">
    <w:name w:val="apple-converted-space"/>
    <w:basedOn w:val="46"/>
    <w:qFormat/>
    <w:uiPriority w:val="0"/>
  </w:style>
  <w:style w:type="character" w:customStyle="1" w:styleId="99">
    <w:name w:val="无间隔 Char"/>
    <w:basedOn w:val="46"/>
    <w:link w:val="100"/>
    <w:qFormat/>
    <w:uiPriority w:val="0"/>
    <w:rPr>
      <w:rFonts w:ascii="Calibri" w:hAnsi="Calibri"/>
      <w:sz w:val="22"/>
    </w:rPr>
  </w:style>
  <w:style w:type="paragraph" w:customStyle="1" w:styleId="100">
    <w:name w:val="无间隔1"/>
    <w:link w:val="99"/>
    <w:qFormat/>
    <w:uiPriority w:val="0"/>
    <w:rPr>
      <w:rFonts w:ascii="Calibri" w:hAnsi="Calibri" w:eastAsiaTheme="minorEastAsia" w:cstheme="minorBidi"/>
      <w:kern w:val="2"/>
      <w:sz w:val="22"/>
      <w:szCs w:val="22"/>
      <w:lang w:val="en-US" w:eastAsia="zh-CN" w:bidi="ar-SA"/>
    </w:rPr>
  </w:style>
  <w:style w:type="character" w:customStyle="1" w:styleId="101">
    <w:name w:val="批注文字 Char1"/>
    <w:basedOn w:val="46"/>
    <w:qFormat/>
    <w:uiPriority w:val="0"/>
    <w:rPr>
      <w:rFonts w:ascii="宋体" w:hAnsi="宋体" w:eastAsia="宋体" w:cs="宋体"/>
      <w:kern w:val="0"/>
      <w:sz w:val="22"/>
      <w:lang w:eastAsia="en-US"/>
    </w:rPr>
  </w:style>
  <w:style w:type="character" w:customStyle="1" w:styleId="102">
    <w:name w:val="批注框文本 Char1"/>
    <w:basedOn w:val="46"/>
    <w:qFormat/>
    <w:uiPriority w:val="0"/>
    <w:rPr>
      <w:rFonts w:ascii="宋体" w:hAnsi="宋体" w:eastAsia="宋体" w:cs="宋体"/>
      <w:kern w:val="0"/>
      <w:sz w:val="18"/>
      <w:szCs w:val="18"/>
      <w:lang w:eastAsia="en-US"/>
    </w:rPr>
  </w:style>
  <w:style w:type="character" w:customStyle="1" w:styleId="103">
    <w:name w:val="正文文本缩进 3 Char1"/>
    <w:basedOn w:val="46"/>
    <w:qFormat/>
    <w:uiPriority w:val="0"/>
    <w:rPr>
      <w:rFonts w:ascii="宋体" w:hAnsi="宋体" w:eastAsia="宋体" w:cs="宋体"/>
      <w:kern w:val="0"/>
      <w:sz w:val="16"/>
      <w:szCs w:val="16"/>
      <w:lang w:eastAsia="en-US"/>
    </w:rPr>
  </w:style>
  <w:style w:type="character" w:customStyle="1" w:styleId="104">
    <w:name w:val="正文文本缩进 2 Char1"/>
    <w:basedOn w:val="46"/>
    <w:qFormat/>
    <w:uiPriority w:val="0"/>
    <w:rPr>
      <w:rFonts w:ascii="宋体" w:hAnsi="宋体" w:eastAsia="宋体" w:cs="宋体"/>
      <w:kern w:val="0"/>
      <w:sz w:val="22"/>
      <w:lang w:eastAsia="en-US"/>
    </w:rPr>
  </w:style>
  <w:style w:type="character" w:customStyle="1" w:styleId="105">
    <w:name w:val="en1"/>
    <w:basedOn w:val="46"/>
    <w:qFormat/>
    <w:uiPriority w:val="0"/>
    <w:rPr>
      <w:b/>
      <w:bCs/>
      <w:color w:val="154C7F"/>
      <w:sz w:val="24"/>
      <w:szCs w:val="24"/>
    </w:rPr>
  </w:style>
  <w:style w:type="character" w:customStyle="1" w:styleId="106">
    <w:name w:val="font01"/>
    <w:basedOn w:val="46"/>
    <w:qFormat/>
    <w:uiPriority w:val="0"/>
    <w:rPr>
      <w:rFonts w:hint="eastAsia" w:ascii="宋体" w:hAnsi="宋体" w:eastAsia="宋体" w:cs="宋体"/>
      <w:color w:val="000000"/>
      <w:sz w:val="20"/>
      <w:szCs w:val="20"/>
      <w:u w:val="none"/>
    </w:rPr>
  </w:style>
  <w:style w:type="character" w:customStyle="1" w:styleId="107">
    <w:name w:val="标题 Char1"/>
    <w:basedOn w:val="46"/>
    <w:qFormat/>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6"/>
    <w:qFormat/>
    <w:uiPriority w:val="0"/>
    <w:rPr>
      <w:rFonts w:ascii="宋体" w:hAnsi="宋体" w:eastAsia="宋体" w:cs="宋体"/>
      <w:kern w:val="0"/>
      <w:sz w:val="22"/>
      <w:lang w:eastAsia="en-US"/>
    </w:rPr>
  </w:style>
  <w:style w:type="character" w:customStyle="1" w:styleId="109">
    <w:name w:val="正文文本 3 Char1"/>
    <w:basedOn w:val="46"/>
    <w:qFormat/>
    <w:uiPriority w:val="0"/>
    <w:rPr>
      <w:rFonts w:ascii="宋体" w:hAnsi="宋体" w:eastAsia="宋体" w:cs="宋体"/>
      <w:kern w:val="0"/>
      <w:sz w:val="16"/>
      <w:szCs w:val="16"/>
      <w:lang w:eastAsia="en-US"/>
    </w:rPr>
  </w:style>
  <w:style w:type="character" w:customStyle="1" w:styleId="110">
    <w:name w:val="font11"/>
    <w:basedOn w:val="46"/>
    <w:qFormat/>
    <w:uiPriority w:val="0"/>
    <w:rPr>
      <w:rFonts w:hint="default" w:ascii="Times New Roman" w:hAnsi="Times New Roman" w:cs="Times New Roman"/>
      <w:color w:val="000000"/>
      <w:sz w:val="20"/>
      <w:szCs w:val="20"/>
      <w:u w:val="none"/>
    </w:rPr>
  </w:style>
  <w:style w:type="character" w:customStyle="1" w:styleId="111">
    <w:name w:val="glossaryitem"/>
    <w:basedOn w:val="46"/>
    <w:qFormat/>
    <w:uiPriority w:val="0"/>
    <w:rPr>
      <w:u w:val="none"/>
    </w:rPr>
  </w:style>
  <w:style w:type="character" w:customStyle="1" w:styleId="112">
    <w:name w:val="HTML 预设格式 Char1"/>
    <w:basedOn w:val="46"/>
    <w:qFormat/>
    <w:uiPriority w:val="0"/>
    <w:rPr>
      <w:rFonts w:ascii="Courier New" w:hAnsi="Courier New" w:eastAsia="宋体" w:cs="Courier New"/>
      <w:kern w:val="0"/>
      <w:sz w:val="20"/>
      <w:szCs w:val="20"/>
      <w:lang w:eastAsia="en-US"/>
    </w:rPr>
  </w:style>
  <w:style w:type="character" w:customStyle="1" w:styleId="113">
    <w:name w:val="文档结构图 Char1"/>
    <w:basedOn w:val="46"/>
    <w:qFormat/>
    <w:uiPriority w:val="0"/>
    <w:rPr>
      <w:rFonts w:ascii="宋体" w:hAnsi="宋体" w:eastAsia="宋体" w:cs="宋体"/>
      <w:kern w:val="0"/>
      <w:sz w:val="18"/>
      <w:szCs w:val="18"/>
      <w:lang w:eastAsia="en-US"/>
    </w:rPr>
  </w:style>
  <w:style w:type="character" w:customStyle="1" w:styleId="114">
    <w:name w:val="日期 Char1"/>
    <w:basedOn w:val="46"/>
    <w:qFormat/>
    <w:uiPriority w:val="0"/>
    <w:rPr>
      <w:rFonts w:ascii="宋体" w:hAnsi="宋体" w:eastAsia="宋体" w:cs="宋体"/>
      <w:kern w:val="0"/>
      <w:sz w:val="22"/>
      <w:lang w:eastAsia="en-US"/>
    </w:rPr>
  </w:style>
  <w:style w:type="character" w:customStyle="1" w:styleId="115">
    <w:name w:val="正文文本 2 Char1"/>
    <w:basedOn w:val="46"/>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5"/>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sz w:val="30"/>
      <w:lang w:val="en-US" w:eastAsia="zh-CN" w:bidi="ar-SA"/>
    </w:rPr>
  </w:style>
  <w:style w:type="paragraph" w:customStyle="1" w:styleId="120">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5"/>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30">
    <w:name w:val="标题1(2号)"/>
    <w:basedOn w:val="3"/>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qFormat/>
    <w:uiPriority w:val="0"/>
    <w:pPr>
      <w:jc w:val="both"/>
    </w:pPr>
    <w:rPr>
      <w:rFonts w:ascii="Times New Roman" w:hAnsi="Times New Roman" w:eastAsia="宋体" w:cs="Times New Roman"/>
      <w:sz w:val="21"/>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2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3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19"/>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6"/>
    <w:uiPriority w:val="0"/>
  </w:style>
  <w:style w:type="character" w:customStyle="1" w:styleId="208">
    <w:name w:val="xdrichtextbox3"/>
    <w:basedOn w:val="46"/>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6"/>
    <w:qFormat/>
    <w:uiPriority w:val="0"/>
  </w:style>
  <w:style w:type="character" w:customStyle="1" w:styleId="211">
    <w:name w:val="xdrichtextbox"/>
    <w:basedOn w:val="46"/>
    <w:qFormat/>
    <w:uiPriority w:val="0"/>
    <w:rPr>
      <w:color w:val="auto"/>
      <w:sz w:val="18"/>
      <w:szCs w:val="18"/>
      <w:u w:val="none"/>
      <w:bdr w:val="single" w:color="DCDCDC" w:sz="8" w:space="0"/>
      <w:shd w:val="clear" w:color="auto" w:fill="auto"/>
    </w:rPr>
  </w:style>
  <w:style w:type="character" w:customStyle="1" w:styleId="212">
    <w:name w:val="drapbtn"/>
    <w:basedOn w:val="46"/>
    <w:qFormat/>
    <w:uiPriority w:val="0"/>
  </w:style>
  <w:style w:type="character" w:customStyle="1" w:styleId="213">
    <w:name w:val="w32"/>
    <w:basedOn w:val="46"/>
    <w:qFormat/>
    <w:uiPriority w:val="0"/>
  </w:style>
  <w:style w:type="character" w:customStyle="1" w:styleId="214">
    <w:name w:val="design_class"/>
    <w:basedOn w:val="46"/>
    <w:qFormat/>
    <w:uiPriority w:val="0"/>
  </w:style>
  <w:style w:type="character" w:customStyle="1" w:styleId="215">
    <w:name w:val="cdropright"/>
    <w:basedOn w:val="46"/>
    <w:qFormat/>
    <w:uiPriority w:val="0"/>
  </w:style>
  <w:style w:type="character" w:customStyle="1" w:styleId="216">
    <w:name w:val="browse_class&gt;input"/>
    <w:basedOn w:val="46"/>
    <w:qFormat/>
    <w:uiPriority w:val="0"/>
    <w:rPr>
      <w:shd w:val="clear" w:color="auto" w:fill="F8F8F8"/>
    </w:rPr>
  </w:style>
  <w:style w:type="character" w:customStyle="1" w:styleId="217">
    <w:name w:val="biggerthanmax"/>
    <w:basedOn w:val="46"/>
    <w:qFormat/>
    <w:uiPriority w:val="0"/>
    <w:rPr>
      <w:shd w:val="clear" w:color="auto" w:fill="FFFF00"/>
    </w:rPr>
  </w:style>
  <w:style w:type="character" w:customStyle="1" w:styleId="218">
    <w:name w:val="browse_class&gt;span"/>
    <w:basedOn w:val="46"/>
    <w:qFormat/>
    <w:uiPriority w:val="0"/>
    <w:rPr>
      <w:shd w:val="clear" w:color="auto" w:fill="F8F8F8"/>
    </w:rPr>
  </w:style>
  <w:style w:type="character" w:customStyle="1" w:styleId="219">
    <w:name w:val="hilite6"/>
    <w:basedOn w:val="46"/>
    <w:qFormat/>
    <w:uiPriority w:val="0"/>
    <w:rPr>
      <w:color w:val="FFFFFF"/>
      <w:shd w:val="clear" w:color="auto" w:fill="666677"/>
    </w:rPr>
  </w:style>
  <w:style w:type="character" w:customStyle="1" w:styleId="220">
    <w:name w:val="cdropleft"/>
    <w:basedOn w:val="46"/>
    <w:qFormat/>
    <w:uiPriority w:val="0"/>
  </w:style>
  <w:style w:type="character" w:customStyle="1" w:styleId="221">
    <w:name w:val="active6"/>
    <w:basedOn w:val="46"/>
    <w:qFormat/>
    <w:uiPriority w:val="0"/>
    <w:rPr>
      <w:color w:val="00FF00"/>
      <w:shd w:val="clear" w:color="auto" w:fill="111111"/>
    </w:rPr>
  </w:style>
  <w:style w:type="character" w:customStyle="1" w:styleId="222">
    <w:name w:val="button"/>
    <w:basedOn w:val="46"/>
    <w:qFormat/>
    <w:uiPriority w:val="0"/>
  </w:style>
  <w:style w:type="character" w:customStyle="1" w:styleId="223">
    <w:name w:val="tmpztreemove_arrow"/>
    <w:basedOn w:val="46"/>
    <w:qFormat/>
    <w:uiPriority w:val="0"/>
  </w:style>
  <w:style w:type="character" w:customStyle="1" w:styleId="224">
    <w:name w:val="browse_class&gt;label"/>
    <w:basedOn w:val="46"/>
    <w:qFormat/>
    <w:uiPriority w:val="0"/>
    <w:rPr>
      <w:shd w:val="clear" w:color="auto" w:fill="F8F8F8"/>
    </w:rPr>
  </w:style>
  <w:style w:type="character" w:customStyle="1" w:styleId="225">
    <w:name w:val="pagechatarealistclose_box"/>
    <w:basedOn w:val="46"/>
    <w:qFormat/>
    <w:uiPriority w:val="0"/>
  </w:style>
  <w:style w:type="character" w:customStyle="1" w:styleId="226">
    <w:name w:val="pagechatarealistclose_box1"/>
    <w:basedOn w:val="46"/>
    <w:qFormat/>
    <w:uiPriority w:val="0"/>
  </w:style>
  <w:style w:type="character" w:customStyle="1" w:styleId="227">
    <w:name w:val="ico1652"/>
    <w:basedOn w:val="46"/>
    <w:qFormat/>
    <w:uiPriority w:val="0"/>
  </w:style>
  <w:style w:type="character" w:customStyle="1" w:styleId="228">
    <w:name w:val="ico1653"/>
    <w:basedOn w:val="46"/>
    <w:qFormat/>
    <w:uiPriority w:val="0"/>
  </w:style>
  <w:style w:type="character" w:customStyle="1" w:styleId="229">
    <w:name w:val="token-input-delete-token"/>
    <w:basedOn w:val="46"/>
    <w:qFormat/>
    <w:uiPriority w:val="0"/>
    <w:rPr>
      <w:color w:val="FFFFFF"/>
    </w:rPr>
  </w:style>
  <w:style w:type="character" w:customStyle="1" w:styleId="230">
    <w:name w:val="edit_class"/>
    <w:basedOn w:val="46"/>
    <w:qFormat/>
    <w:uiPriority w:val="0"/>
  </w:style>
  <w:style w:type="character" w:customStyle="1" w:styleId="231">
    <w:name w:val="ico1654"/>
    <w:basedOn w:val="46"/>
    <w:qFormat/>
    <w:uiPriority w:val="0"/>
  </w:style>
  <w:style w:type="character" w:customStyle="1" w:styleId="232">
    <w:name w:val="button2"/>
    <w:basedOn w:val="46"/>
    <w:qFormat/>
    <w:uiPriority w:val="0"/>
  </w:style>
  <w:style w:type="character" w:customStyle="1" w:styleId="233">
    <w:name w:val="active10"/>
    <w:basedOn w:val="46"/>
    <w:qFormat/>
    <w:uiPriority w:val="0"/>
    <w:rPr>
      <w:color w:val="00FF00"/>
      <w:shd w:val="clear" w:color="auto" w:fill="111111"/>
    </w:rPr>
  </w:style>
  <w:style w:type="character" w:customStyle="1" w:styleId="234">
    <w:name w:val="active"/>
    <w:basedOn w:val="46"/>
    <w:qFormat/>
    <w:uiPriority w:val="0"/>
    <w:rPr>
      <w:color w:val="00FF00"/>
      <w:shd w:val="clear" w:color="auto" w:fill="111111"/>
    </w:rPr>
  </w:style>
  <w:style w:type="character" w:customStyle="1" w:styleId="235">
    <w:name w:val="ico1655"/>
    <w:basedOn w:val="46"/>
    <w:qFormat/>
    <w:uiPriority w:val="0"/>
  </w:style>
  <w:style w:type="character" w:customStyle="1" w:styleId="236">
    <w:name w:val="hilite"/>
    <w:basedOn w:val="46"/>
    <w:qFormat/>
    <w:uiPriority w:val="0"/>
    <w:rPr>
      <w:color w:val="FFFFFF"/>
      <w:shd w:val="clear" w:color="auto" w:fill="666677"/>
    </w:rPr>
  </w:style>
  <w:style w:type="character" w:customStyle="1" w:styleId="237">
    <w:name w:val="active12"/>
    <w:basedOn w:val="46"/>
    <w:qFormat/>
    <w:uiPriority w:val="0"/>
    <w:rPr>
      <w:color w:val="00FF00"/>
      <w:shd w:val="clear" w:color="auto" w:fill="111111"/>
    </w:rPr>
  </w:style>
  <w:style w:type="character" w:customStyle="1" w:styleId="238">
    <w:name w:val="hilite5"/>
    <w:basedOn w:val="46"/>
    <w:qFormat/>
    <w:uiPriority w:val="0"/>
    <w:rPr>
      <w:color w:val="FFFFFF"/>
      <w:shd w:val="clear" w:color="auto" w:fill="666677"/>
    </w:rPr>
  </w:style>
  <w:style w:type="character" w:customStyle="1" w:styleId="239">
    <w:name w:val="hilite4"/>
    <w:basedOn w:val="46"/>
    <w:qFormat/>
    <w:uiPriority w:val="0"/>
    <w:rPr>
      <w:color w:val="FFFFFF"/>
      <w:shd w:val="clear" w:color="auto" w:fill="666677"/>
    </w:rPr>
  </w:style>
  <w:style w:type="character" w:customStyle="1" w:styleId="240">
    <w:name w:val="ico16"/>
    <w:basedOn w:val="46"/>
    <w:qFormat/>
    <w:uiPriority w:val="0"/>
  </w:style>
  <w:style w:type="character" w:customStyle="1" w:styleId="241">
    <w:name w:val="ico161"/>
    <w:basedOn w:val="46"/>
    <w:qFormat/>
    <w:uiPriority w:val="0"/>
  </w:style>
  <w:style w:type="character" w:customStyle="1" w:styleId="242">
    <w:name w:val="active8"/>
    <w:basedOn w:val="46"/>
    <w:qFormat/>
    <w:uiPriority w:val="0"/>
    <w:rPr>
      <w:color w:val="00FF00"/>
      <w:shd w:val="clear" w:color="auto" w:fill="111111"/>
    </w:rPr>
  </w:style>
  <w:style w:type="character" w:customStyle="1" w:styleId="243">
    <w:name w:val="active1"/>
    <w:basedOn w:val="46"/>
    <w:qFormat/>
    <w:uiPriority w:val="0"/>
    <w:rPr>
      <w:color w:val="00FF00"/>
      <w:shd w:val="clear" w:color="auto" w:fill="111111"/>
    </w:rPr>
  </w:style>
  <w:style w:type="character" w:customStyle="1" w:styleId="244">
    <w:name w:val="active11"/>
    <w:basedOn w:val="46"/>
    <w:qFormat/>
    <w:uiPriority w:val="0"/>
    <w:rPr>
      <w:color w:val="00FF00"/>
      <w:shd w:val="clear" w:color="auto" w:fill="111111"/>
    </w:rPr>
  </w:style>
  <w:style w:type="character" w:customStyle="1" w:styleId="245">
    <w:name w:val="active9"/>
    <w:basedOn w:val="46"/>
    <w:qFormat/>
    <w:uiPriority w:val="0"/>
    <w:rPr>
      <w:color w:val="00FF00"/>
      <w:shd w:val="clear" w:color="auto" w:fill="111111"/>
    </w:rPr>
  </w:style>
  <w:style w:type="character" w:customStyle="1" w:styleId="246">
    <w:name w:val="active5"/>
    <w:basedOn w:val="46"/>
    <w:qFormat/>
    <w:uiPriority w:val="0"/>
    <w:rPr>
      <w:color w:val="00FF00"/>
      <w:shd w:val="clear" w:color="auto" w:fill="111111"/>
    </w:rPr>
  </w:style>
  <w:style w:type="paragraph" w:customStyle="1" w:styleId="247">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uiPriority w:val="0"/>
    <w:rPr>
      <w:rFonts w:ascii="Times New Roman" w:hAnsi="Times New Roman" w:eastAsia="宋体" w:cs="Times New Roman"/>
      <w:sz w:val="24"/>
      <w:szCs w:val="20"/>
      <w:lang w:eastAsia="en-US"/>
    </w:rPr>
  </w:style>
  <w:style w:type="paragraph" w:customStyle="1" w:styleId="250">
    <w:name w:val="修订1"/>
    <w:hidden/>
    <w:unhideWhenUsed/>
    <w:uiPriority w:val="99"/>
    <w:rPr>
      <w:rFonts w:ascii="宋体" w:hAnsi="宋体" w:eastAsia="宋体" w:cs="宋体"/>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2">
    <w:name w:val="wz141"/>
    <w:uiPriority w:val="0"/>
    <w:rPr>
      <w:rFonts w:hint="default" w:ascii="Arial" w:hAnsi="Arial" w:cs="Arial"/>
      <w:color w:val="000000"/>
      <w:sz w:val="21"/>
      <w:szCs w:val="21"/>
    </w:rPr>
  </w:style>
  <w:style w:type="character" w:customStyle="1" w:styleId="253">
    <w:name w:val="纯文本 字符"/>
    <w:qFormat/>
    <w:uiPriority w:val="0"/>
    <w:rPr>
      <w:rFonts w:ascii="宋体" w:hAnsi="Courier New" w:eastAsia="宋体" w:cs="Courier New"/>
      <w:kern w:val="2"/>
      <w:sz w:val="21"/>
      <w:szCs w:val="21"/>
      <w:lang w:val="en-US" w:eastAsia="zh-CN" w:bidi="ar-SA"/>
    </w:rPr>
  </w:style>
  <w:style w:type="character" w:customStyle="1" w:styleId="254">
    <w:name w:val="cd_message"/>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1356</Words>
  <Characters>7734</Characters>
  <Lines>64</Lines>
  <Paragraphs>18</Paragraphs>
  <TotalTime>0</TotalTime>
  <ScaleCrop>false</ScaleCrop>
  <LinksUpToDate>false</LinksUpToDate>
  <CharactersWithSpaces>9072</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2022-03-28T01:09:00Z</dcterms:created>
  <dc:creator>xb21cn</dc:creator>
  <cp:lastModifiedBy>333</cp:lastModifiedBy>
  <dcterms:modified xsi:type="dcterms:W3CDTF">2022-09-14T01:25:19Z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