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福海创聚酯链团队加工贸易专项业务评估报告编制比选文件</w:t>
      </w:r>
    </w:p>
    <w:p>
      <w:pPr>
        <w:pStyle w:val="20"/>
        <w:jc w:val="center"/>
        <w:rPr>
          <w:rFonts w:hint="eastAsia" w:ascii="微软雅黑" w:eastAsia="微软雅黑"/>
          <w:b/>
          <w:sz w:val="52"/>
          <w:szCs w:val="22"/>
          <w:u w:val="single"/>
          <w:lang w:eastAsia="zh-CN"/>
        </w:rPr>
      </w:pP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FHC-PTCG20220822004</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4"/>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pStyle w:val="20"/>
        <w:keepNext w:val="0"/>
        <w:keepLines w:val="0"/>
        <w:pageBreakBefore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福建福海创石油化工有限公司就</w:t>
      </w:r>
      <w:r>
        <w:rPr>
          <w:rFonts w:hint="eastAsia"/>
          <w:color w:val="000000" w:themeColor="text1"/>
          <w:u w:val="single"/>
          <w:lang w:eastAsia="zh-CN"/>
        </w:rPr>
        <w:t>“</w:t>
      </w:r>
      <w:r>
        <w:rPr>
          <w:rFonts w:hint="eastAsia"/>
          <w:color w:val="000000" w:themeColor="text1"/>
          <w:u w:val="single"/>
          <w:lang w:val="en-US" w:eastAsia="zh-CN"/>
        </w:rPr>
        <w:t>福海创聚酯链团队加工贸易专项业务评估报告编制发包</w:t>
      </w:r>
      <w:r>
        <w:rPr>
          <w:rFonts w:hint="eastAsia"/>
          <w:color w:val="000000" w:themeColor="text1"/>
          <w:u w:val="single"/>
          <w:lang w:eastAsia="zh-CN"/>
        </w:rPr>
        <w:t>（项目编号：FHC-PTCG20220822004）</w:t>
      </w:r>
      <w:r>
        <w:rPr>
          <w:rFonts w:hint="eastAsia"/>
          <w:color w:val="000000" w:themeColor="text1"/>
          <w:lang w:eastAsia="zh-CN"/>
        </w:rPr>
        <w:t>”</w:t>
      </w:r>
      <w:r>
        <w:rPr>
          <w:rFonts w:hint="eastAsia"/>
          <w:lang w:eastAsia="zh-CN"/>
        </w:rPr>
        <w:t>进行国内公开比选，欢迎国内符合条件的供应商积极参选。</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1.项目名称：福海创聚酯链团队加工贸易专项业务评估报告编制发包</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2.比选项目简要说明：</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加工贸易业务评估调研内容</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1、现状情况调研</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（1）调研福海创原料采购渠道以及产品销售去向。</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2）调研福海创生产工艺以及物流仓储运输、现场作业控制等作业流程，包括不限于：生产计划管理流程、料件进口申报作业流程、货物仓储作业流程、加工制造作业流程、成品出口申报作业流程、货物盘点作业流程、不合格品处置流程。</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（3）调研福海创生产经营、进出口业务相关信息化系统管理的建设情况。</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（4）调研福海创进出口作业的协定税率和税费成本结构。</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2、加工贸易实施分析</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（1）分析福海创实施加工贸易业务的核心事务以及关键流程、信息化系统等需要相关优化调整的事项。</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（2）分析福海创开展加工贸易业务前后税费对比情况。</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（3）分析福海创开展加工贸易业务需要海关创新扶持事项。</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cs="华文中宋"/>
          <w:snapToGrid w:val="0"/>
          <w:color w:val="000000"/>
          <w:kern w:val="0"/>
          <w:sz w:val="24"/>
        </w:rPr>
      </w:pPr>
      <w:r>
        <w:rPr>
          <w:rFonts w:hint="eastAsia" w:ascii="宋体" w:hAnsi="宋体" w:cs="华文中宋"/>
          <w:snapToGrid w:val="0"/>
          <w:color w:val="000000"/>
          <w:kern w:val="0"/>
          <w:sz w:val="24"/>
        </w:rPr>
        <w:t>（4）结合以上分析编写《福海创加工贸易实施分析报告》。</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eastAsia="zh-CN"/>
        </w:rPr>
        <w:t>3.比选控制价：</w:t>
      </w:r>
      <w:r>
        <w:rPr>
          <w:rFonts w:hint="eastAsia"/>
          <w:sz w:val="24"/>
          <w:szCs w:val="24"/>
          <w:lang w:val="en-US" w:eastAsia="zh-CN"/>
        </w:rPr>
        <w:t>18万元（含税）</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4.工期要求：</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ascii="宋体" w:hAnsi="宋体" w:cs="宋体"/>
          <w:kern w:val="0"/>
          <w:sz w:val="24"/>
        </w:rPr>
      </w:pPr>
      <w:r>
        <w:rPr>
          <w:rFonts w:hint="eastAsia" w:ascii="宋体" w:hAnsi="宋体" w:cs="宋体"/>
          <w:kern w:val="0"/>
          <w:sz w:val="24"/>
        </w:rPr>
        <w:t>1</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；不得以挂靠形式投标，中</w:t>
      </w:r>
      <w:r>
        <w:rPr>
          <w:rFonts w:hint="eastAsia" w:cs="宋体"/>
          <w:kern w:val="0"/>
          <w:sz w:val="24"/>
          <w:lang w:val="en-US" w:eastAsia="zh-CN"/>
        </w:rPr>
        <w:t>选</w:t>
      </w:r>
      <w:r>
        <w:rPr>
          <w:rFonts w:hint="eastAsia" w:ascii="宋体" w:hAnsi="宋体" w:cs="宋体"/>
          <w:kern w:val="0"/>
          <w:sz w:val="24"/>
        </w:rPr>
        <w:t>后不得转包。</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2</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曾经出版过加工贸易相关的专业著作（提供出版著作信息）</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3</w:t>
      </w:r>
      <w:r>
        <w:rPr>
          <w:rFonts w:hint="eastAsia" w:cs="宋体"/>
          <w:kern w:val="0"/>
          <w:sz w:val="24"/>
          <w:lang w:val="en-US" w:eastAsia="zh-CN"/>
        </w:rPr>
        <w:t>.参选人</w:t>
      </w:r>
      <w:r>
        <w:rPr>
          <w:rFonts w:hint="eastAsia" w:ascii="宋体" w:hAnsi="宋体" w:cs="宋体"/>
          <w:kern w:val="0"/>
          <w:sz w:val="24"/>
        </w:rPr>
        <w:t>曾经参加海关、地方政府与保税经济、加工贸易相关的课题研究、平台建设以及其他专项工作（提供项目合同）</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ascii="宋体" w:hAnsi="宋体" w:cs="宋体"/>
          <w:kern w:val="0"/>
          <w:sz w:val="24"/>
        </w:rPr>
        <w:t>4</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为加工贸易企业提供过专项咨询服务（提供合同）</w:t>
      </w:r>
      <w:r>
        <w:rPr>
          <w:rFonts w:hint="eastAsia" w:cs="宋体"/>
          <w:kern w:val="0"/>
          <w:sz w:val="24"/>
          <w:lang w:eastAsia="zh-CN"/>
        </w:rPr>
        <w:t>。</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参选人没有失信黑名单记录（以最高院失信被执行人系统发布信息为准）。</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与比选人无诉讼纠纷。</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1.报名时间：20</w:t>
      </w:r>
      <w:r>
        <w:rPr>
          <w:rFonts w:hint="eastAsia"/>
          <w:color w:val="000000" w:themeColor="text1"/>
          <w:sz w:val="24"/>
          <w:szCs w:val="24"/>
          <w:lang w:val="en-US" w:eastAsia="zh-CN"/>
        </w:rPr>
        <w:t>22</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日至</w:t>
      </w:r>
      <w:r>
        <w:rPr>
          <w:rFonts w:hint="eastAsia"/>
          <w:color w:val="000000" w:themeColor="text1"/>
          <w:sz w:val="24"/>
          <w:szCs w:val="24"/>
          <w:lang w:val="en-US" w:eastAsia="zh-CN"/>
        </w:rPr>
        <w:t>29</w:t>
      </w:r>
      <w:r>
        <w:rPr>
          <w:rFonts w:hint="eastAsia"/>
          <w:color w:val="000000" w:themeColor="text1"/>
          <w:sz w:val="24"/>
          <w:szCs w:val="24"/>
          <w:lang w:eastAsia="zh-CN"/>
        </w:rPr>
        <w:t>日</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2.报名方式：参选人在报名时间内将报名文件发送至</w:t>
      </w:r>
      <w:r>
        <w:rPr>
          <w:rFonts w:hint="eastAsia"/>
          <w:color w:val="000000" w:themeColor="text1"/>
          <w:sz w:val="24"/>
          <w:szCs w:val="24"/>
          <w:lang w:val="en-US" w:eastAsia="zh-CN"/>
        </w:rPr>
        <w:t>邮箱xydai</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w:t>
      </w:r>
      <w:r>
        <w:rPr>
          <w:rFonts w:hint="eastAsia"/>
          <w:color w:val="000000" w:themeColor="text1"/>
          <w:sz w:val="24"/>
          <w:szCs w:val="24"/>
          <w:lang w:eastAsia="zh-CN"/>
        </w:rPr>
        <w:t>（</w:t>
      </w:r>
      <w:r>
        <w:rPr>
          <w:rFonts w:hint="eastAsia"/>
          <w:color w:val="000000" w:themeColor="text1"/>
          <w:sz w:val="24"/>
          <w:szCs w:val="24"/>
          <w:lang w:val="en-US" w:eastAsia="zh-CN"/>
        </w:rPr>
        <w:t>正反面并加盖单位公章</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3）资质文件</w:t>
      </w:r>
      <w:r>
        <w:rPr>
          <w:rFonts w:hint="eastAsia"/>
          <w:color w:val="000000" w:themeColor="text1"/>
          <w:sz w:val="24"/>
          <w:szCs w:val="24"/>
          <w:lang w:val="en-US" w:eastAsia="zh-CN"/>
        </w:rPr>
        <w:t>及相关业绩</w:t>
      </w:r>
      <w:r>
        <w:rPr>
          <w:rFonts w:hint="eastAsia"/>
          <w:color w:val="000000" w:themeColor="text1"/>
          <w:sz w:val="24"/>
          <w:szCs w:val="24"/>
          <w:lang w:eastAsia="zh-CN"/>
        </w:rPr>
        <w:t>（加盖单位公章的扫描件）。</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1.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p>
    <w:p>
      <w:pPr>
        <w:keepNext w:val="0"/>
        <w:keepLines w:val="0"/>
        <w:pageBreakBefore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2. 参选文件递交截止时间（以送达时间为准）：</w:t>
      </w:r>
      <w:r>
        <w:rPr>
          <w:rFonts w:hint="eastAsia"/>
          <w:color w:val="000000" w:themeColor="text1"/>
          <w:sz w:val="24"/>
          <w:szCs w:val="24"/>
          <w:lang w:val="en-US" w:eastAsia="zh-CN"/>
        </w:rPr>
        <w:t>2022年9月30日12时止。</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3600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注明用途：福海创聚酯链团队加工贸易专项业务评估报告编制发包参选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kinsoku/>
        <w:wordWrap/>
        <w:overflowPunct/>
        <w:topLinePunct w:val="0"/>
        <w:autoSpaceDE w:val="0"/>
        <w:autoSpaceDN w:val="0"/>
        <w:bidi w:val="0"/>
        <w:adjustRightInd/>
        <w:snapToGrid/>
        <w:spacing w:line="360" w:lineRule="auto"/>
        <w:ind w:right="0" w:firstLine="514" w:firstLineChars="200"/>
        <w:textAlignment w:val="auto"/>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"mailto:xydai@fhcpec.com.cn" </w:instrText>
      </w:r>
      <w:r>
        <w:rPr>
          <w:rFonts w:hint="eastAsia"/>
          <w:color w:val="000000" w:themeColor="text1"/>
          <w:sz w:val="24"/>
          <w:szCs w:val="24"/>
          <w:lang w:val="en-US" w:eastAsia="zh-CN"/>
        </w:rPr>
        <w:fldChar w:fldCharType="separate"/>
      </w:r>
      <w:r>
        <w:rPr>
          <w:rStyle w:val="55"/>
          <w:rFonts w:hint="eastAsia"/>
          <w:color w:val="000000" w:themeColor="text1"/>
          <w:sz w:val="24"/>
          <w:szCs w:val="24"/>
          <w:lang w:val="en-US" w:eastAsia="zh-CN"/>
        </w:rPr>
        <w:t>xydai</w:t>
      </w:r>
      <w:r>
        <w:rPr>
          <w:rStyle w:val="55"/>
          <w:rFonts w:hint="eastAsia"/>
          <w:color w:val="000000" w:themeColor="text1"/>
          <w:sz w:val="24"/>
          <w:szCs w:val="24"/>
          <w:lang w:eastAsia="zh-CN"/>
        </w:rPr>
        <w:t>@fhcpec.com.cn</w:t>
      </w:r>
      <w:r>
        <w:rPr>
          <w:rFonts w:hint="eastAsia"/>
          <w:color w:val="000000" w:themeColor="text1"/>
          <w:sz w:val="24"/>
          <w:szCs w:val="24"/>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pPr>
      <w:r>
        <w:rPr>
          <w:rFonts w:hint="eastAsia"/>
          <w:color w:val="000000" w:themeColor="text1"/>
          <w:sz w:val="24"/>
          <w:szCs w:val="24"/>
          <w:lang w:val="en-US" w:eastAsia="zh-CN"/>
        </w:rPr>
        <w:t>技术联系人：</w:t>
      </w:r>
      <w:r>
        <w:rPr>
          <w:rFonts w:hint="eastAsia"/>
          <w:lang w:val="en-US" w:eastAsia="zh-CN"/>
        </w:rPr>
        <w:t>刘江川 电话：</w:t>
      </w:r>
      <w:r>
        <w:rPr>
          <w:rFonts w:hint="eastAsia" w:ascii="宋体" w:hAnsi="宋体" w:eastAsia="宋体" w:cs="宋体"/>
          <w:sz w:val="24"/>
          <w:szCs w:val="24"/>
        </w:rPr>
        <w:t>15860900793</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邮    编：363216</w:t>
      </w:r>
    </w:p>
    <w:p>
      <w:pPr>
        <w:spacing w:line="360" w:lineRule="auto"/>
        <w:ind w:firstLine="480" w:firstLineChars="200"/>
        <w:rPr>
          <w:rFonts w:hint="eastAsia"/>
          <w:color w:val="000000" w:themeColor="text1"/>
          <w:sz w:val="24"/>
          <w:szCs w:val="24"/>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firstLine="480" w:firstLineChars="20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福海创聚酯链团队加工贸易专项业务评估报告编制</w:t>
      </w:r>
      <w:r>
        <w:rPr>
          <w:rFonts w:hint="eastAsia"/>
          <w:lang w:eastAsia="zh-CN"/>
        </w:rPr>
        <w:t xml:space="preserve">    </w:t>
      </w:r>
    </w:p>
    <w:p>
      <w:pPr>
        <w:pStyle w:val="20"/>
        <w:spacing w:line="360" w:lineRule="auto"/>
        <w:ind w:right="121" w:firstLine="480" w:firstLineChars="200"/>
        <w:jc w:val="both"/>
        <w:rPr>
          <w:lang w:eastAsia="zh-CN"/>
        </w:rPr>
      </w:pPr>
      <w:r>
        <w:rPr>
          <w:rFonts w:hint="eastAsia"/>
          <w:lang w:eastAsia="zh-CN"/>
        </w:rPr>
        <w:t>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3.承包方式：固定总价包干</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.项目联系人</w:t>
      </w:r>
    </w:p>
    <w:p>
      <w:pPr>
        <w:pStyle w:val="20"/>
        <w:spacing w:line="360" w:lineRule="auto"/>
        <w:ind w:right="121" w:firstLine="720" w:firstLineChars="300"/>
        <w:jc w:val="both"/>
        <w:rPr>
          <w:lang w:eastAsia="zh-CN"/>
        </w:rPr>
      </w:pPr>
      <w:r>
        <w:rPr>
          <w:rFonts w:hint="eastAsia"/>
          <w:lang w:eastAsia="zh-CN"/>
        </w:rPr>
        <w:t>商务联系人：戴小玉  15259629857，</w:t>
      </w:r>
      <w:r>
        <w:rPr>
          <w:rFonts w:hint="eastAsia"/>
          <w:lang w:val="en-US" w:eastAsia="zh-CN"/>
        </w:rPr>
        <w:t>xydai</w:t>
      </w:r>
      <w:r>
        <w:rPr>
          <w:rFonts w:hint="eastAsia"/>
          <w:lang w:eastAsia="zh-CN"/>
        </w:rPr>
        <w:t>@</w:t>
      </w:r>
      <w:r>
        <w:rPr>
          <w:lang w:eastAsia="zh-CN"/>
        </w:rPr>
        <w:t>fhcpec.com.cn</w:t>
      </w:r>
    </w:p>
    <w:p>
      <w:pPr>
        <w:pStyle w:val="20"/>
        <w:spacing w:line="360" w:lineRule="auto"/>
        <w:ind w:right="121" w:firstLine="720" w:firstLineChars="300"/>
        <w:jc w:val="both"/>
        <w:rPr>
          <w:rFonts w:hint="eastAsia" w:eastAsia="宋体"/>
          <w:lang w:val="en-US" w:eastAsia="zh-CN"/>
        </w:rPr>
      </w:pPr>
      <w:r>
        <w:rPr>
          <w:rFonts w:hint="eastAsia"/>
          <w:lang w:eastAsia="zh-CN"/>
        </w:rPr>
        <w:t>技术联系人：</w:t>
      </w:r>
      <w:r>
        <w:rPr>
          <w:rFonts w:hint="eastAsia"/>
          <w:lang w:val="en-US" w:eastAsia="zh-CN"/>
        </w:rPr>
        <w:t>刘江川 电话：</w:t>
      </w:r>
      <w:r>
        <w:rPr>
          <w:rFonts w:hint="eastAsia" w:ascii="宋体" w:hAnsi="宋体" w:eastAsia="宋体" w:cs="宋体"/>
          <w:sz w:val="24"/>
          <w:szCs w:val="24"/>
        </w:rPr>
        <w:t>15860900793</w:t>
      </w:r>
    </w:p>
    <w:p>
      <w:pPr>
        <w:pStyle w:val="20"/>
        <w:spacing w:line="360" w:lineRule="auto"/>
        <w:ind w:right="121"/>
        <w:jc w:val="both"/>
        <w:rPr>
          <w:b/>
          <w:w w:val="95"/>
          <w:sz w:val="28"/>
          <w:lang w:eastAsia="zh-CN"/>
        </w:rPr>
      </w:pPr>
      <w:r>
        <w:rPr>
          <w:rFonts w:hint="eastAsia"/>
          <w:color w:val="FF0000"/>
          <w:lang w:eastAsia="zh-CN"/>
        </w:rPr>
        <w:t xml:space="preserve">  </w:t>
      </w:r>
      <w:r>
        <w:rPr>
          <w:rFonts w:hint="eastAsia"/>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ascii="宋体" w:hAnsi="宋体" w:cs="宋体"/>
          <w:kern w:val="0"/>
          <w:sz w:val="24"/>
        </w:rPr>
      </w:pPr>
      <w:r>
        <w:rPr>
          <w:rFonts w:hint="eastAsia" w:ascii="宋体" w:hAnsi="宋体" w:cs="宋体"/>
          <w:kern w:val="0"/>
          <w:sz w:val="24"/>
        </w:rPr>
        <w:t>1</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应是响应招标、参加投标竞争的中华人民共和国境内的企业法人，</w:t>
      </w:r>
      <w:r>
        <w:rPr>
          <w:rFonts w:hint="eastAsia" w:ascii="宋体" w:hAnsi="宋体" w:cs="宋体"/>
          <w:sz w:val="24"/>
        </w:rPr>
        <w:t>具有独立承担民事责任的能力，并具有独立签订合同的权力</w:t>
      </w:r>
      <w:r>
        <w:rPr>
          <w:rFonts w:hint="eastAsia" w:ascii="宋体" w:hAnsi="宋体" w:cs="宋体"/>
          <w:kern w:val="0"/>
          <w:sz w:val="24"/>
        </w:rPr>
        <w:t>；不得以挂靠形式投标，中</w:t>
      </w:r>
      <w:r>
        <w:rPr>
          <w:rFonts w:hint="eastAsia" w:cs="宋体"/>
          <w:kern w:val="0"/>
          <w:sz w:val="24"/>
          <w:lang w:val="en-US" w:eastAsia="zh-CN"/>
        </w:rPr>
        <w:t>选</w:t>
      </w:r>
      <w:r>
        <w:rPr>
          <w:rFonts w:hint="eastAsia" w:ascii="宋体" w:hAnsi="宋体" w:cs="宋体"/>
          <w:kern w:val="0"/>
          <w:sz w:val="24"/>
        </w:rPr>
        <w:t>后不得转包。</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2</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曾经出版过加工贸易相关的专业著作（提供出版著作信息）</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hint="eastAsia" w:ascii="宋体" w:hAnsi="宋体" w:cs="宋体"/>
          <w:kern w:val="0"/>
          <w:sz w:val="24"/>
        </w:rPr>
        <w:t>3</w:t>
      </w:r>
      <w:r>
        <w:rPr>
          <w:rFonts w:hint="eastAsia" w:cs="宋体"/>
          <w:kern w:val="0"/>
          <w:sz w:val="24"/>
          <w:lang w:val="en-US" w:eastAsia="zh-CN"/>
        </w:rPr>
        <w:t>.参选人</w:t>
      </w:r>
      <w:r>
        <w:rPr>
          <w:rFonts w:hint="eastAsia" w:ascii="宋体" w:hAnsi="宋体" w:cs="宋体"/>
          <w:kern w:val="0"/>
          <w:sz w:val="24"/>
        </w:rPr>
        <w:t>曾经参加海关、地方政府与保税经济、加工贸易相关的课题研究、平台建设以及其他专项工作（提供项目合同）</w:t>
      </w:r>
      <w:r>
        <w:rPr>
          <w:rFonts w:hint="eastAsia" w:cs="宋体"/>
          <w:kern w:val="0"/>
          <w:sz w:val="24"/>
          <w:lang w:eastAsia="zh-CN"/>
        </w:rPr>
        <w:t>。</w:t>
      </w:r>
    </w:p>
    <w:p>
      <w:pPr>
        <w:keepNext w:val="0"/>
        <w:keepLines w:val="0"/>
        <w:pageBreakBefore w:val="0"/>
        <w:widowControl/>
        <w:shd w:val="clear" w:color="auto" w:fill="FEFEFE"/>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宋体" w:hAnsi="宋体" w:eastAsia="宋体" w:cs="宋体"/>
          <w:kern w:val="0"/>
          <w:sz w:val="24"/>
          <w:lang w:eastAsia="zh-CN"/>
        </w:rPr>
      </w:pPr>
      <w:r>
        <w:rPr>
          <w:rFonts w:ascii="宋体" w:hAnsi="宋体" w:cs="宋体"/>
          <w:kern w:val="0"/>
          <w:sz w:val="24"/>
        </w:rPr>
        <w:t>4</w:t>
      </w:r>
      <w:r>
        <w:rPr>
          <w:rFonts w:hint="eastAsia" w:cs="宋体"/>
          <w:kern w:val="0"/>
          <w:sz w:val="24"/>
          <w:lang w:val="en-US" w:eastAsia="zh-CN"/>
        </w:rPr>
        <w:t>.</w:t>
      </w:r>
      <w:r>
        <w:rPr>
          <w:rFonts w:hint="eastAsia" w:cs="宋体"/>
          <w:kern w:val="0"/>
          <w:sz w:val="24"/>
          <w:lang w:eastAsia="zh-CN"/>
        </w:rPr>
        <w:t>参选人</w:t>
      </w:r>
      <w:r>
        <w:rPr>
          <w:rFonts w:hint="eastAsia" w:ascii="宋体" w:hAnsi="宋体" w:cs="宋体"/>
          <w:kern w:val="0"/>
          <w:sz w:val="24"/>
        </w:rPr>
        <w:t>为加工贸易企业提供过专项咨询服务（提供合同）</w:t>
      </w:r>
      <w:r>
        <w:rPr>
          <w:rFonts w:hint="eastAsia" w:cs="宋体"/>
          <w:kern w:val="0"/>
          <w:sz w:val="24"/>
          <w:lang w:eastAsia="zh-CN"/>
        </w:rPr>
        <w:t>。</w:t>
      </w:r>
    </w:p>
    <w:p>
      <w:pPr>
        <w:keepNext w:val="0"/>
        <w:keepLines w:val="0"/>
        <w:pageBreakBefore w:val="0"/>
        <w:tabs>
          <w:tab w:val="left" w:pos="709"/>
        </w:tabs>
        <w:kinsoku/>
        <w:wordWrap/>
        <w:overflowPunct/>
        <w:topLinePunct w:val="0"/>
        <w:autoSpaceDE w:val="0"/>
        <w:autoSpaceDN w:val="0"/>
        <w:bidi w:val="0"/>
        <w:adjustRightInd/>
        <w:snapToGrid/>
        <w:spacing w:line="440" w:lineRule="exact"/>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参选人没有失信黑名单记录（以最高院失信被执行人系统发布信息为准）。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与比选人无诉讼纠纷。</w:t>
      </w:r>
    </w:p>
    <w:p>
      <w:pPr>
        <w:keepNext w:val="0"/>
        <w:keepLines w:val="0"/>
        <w:pageBreakBefore w:val="0"/>
        <w:widowControl w:val="0"/>
        <w:kinsoku/>
        <w:wordWrap/>
        <w:overflowPunct/>
        <w:topLinePunct w:val="0"/>
        <w:autoSpaceDE w:val="0"/>
        <w:autoSpaceDN w:val="0"/>
        <w:bidi w:val="0"/>
        <w:adjustRightInd/>
        <w:snapToGrid/>
        <w:spacing w:line="360" w:lineRule="auto"/>
        <w:ind w:firstLine="534" w:firstLineChars="200"/>
        <w:textAlignment w:val="auto"/>
        <w:rPr>
          <w:b/>
          <w:w w:val="95"/>
          <w:sz w:val="28"/>
          <w:lang w:eastAsia="zh-CN"/>
        </w:rPr>
      </w:pPr>
      <w:r>
        <w:rPr>
          <w:rFonts w:hint="eastAsia"/>
          <w:b/>
          <w:w w:val="95"/>
          <w:sz w:val="28"/>
          <w:lang w:val="en-US" w:eastAsia="zh-CN"/>
        </w:rPr>
        <w:t>七</w:t>
      </w:r>
      <w:r>
        <w:rPr>
          <w:b/>
          <w:w w:val="95"/>
          <w:sz w:val="28"/>
          <w:lang w:eastAsia="zh-CN"/>
        </w:rPr>
        <w:t>、参选文件的递交</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lang w:eastAsia="zh-CN"/>
        </w:rPr>
      </w:pPr>
      <w:r>
        <w:rPr>
          <w:rFonts w:hint="eastAsia"/>
          <w:lang w:eastAsia="zh-CN"/>
        </w:rPr>
        <w:t xml:space="preserve">    </w:t>
      </w:r>
      <w:r>
        <w:rPr>
          <w:lang w:eastAsia="zh-CN"/>
        </w:rPr>
        <w:t>1.参选文件递交的截止时间</w:t>
      </w:r>
      <w:r>
        <w:rPr>
          <w:rFonts w:hint="eastAsia"/>
          <w:color w:val="000000" w:themeColor="text1"/>
          <w:lang w:eastAsia="zh-CN"/>
        </w:rPr>
        <w:t>：20</w:t>
      </w:r>
      <w:r>
        <w:rPr>
          <w:rFonts w:hint="eastAsia"/>
          <w:color w:val="000000" w:themeColor="text1"/>
          <w:lang w:val="en-US" w:eastAsia="zh-CN"/>
        </w:rPr>
        <w:t>22</w:t>
      </w:r>
      <w:r>
        <w:rPr>
          <w:rFonts w:hint="eastAsia"/>
          <w:color w:val="000000" w:themeColor="text1"/>
          <w:lang w:eastAsia="zh-CN"/>
        </w:rPr>
        <w:t>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30</w:t>
      </w:r>
      <w:bookmarkStart w:id="1" w:name="_GoBack"/>
      <w:bookmarkEnd w:id="1"/>
      <w:r>
        <w:rPr>
          <w:rFonts w:hint="eastAsia"/>
          <w:color w:val="000000" w:themeColor="text1"/>
          <w:lang w:eastAsia="zh-CN"/>
        </w:rPr>
        <w:t>日1</w:t>
      </w:r>
      <w:r>
        <w:rPr>
          <w:rFonts w:hint="eastAsia"/>
          <w:color w:val="000000" w:themeColor="text1"/>
          <w:lang w:val="en-US" w:eastAsia="zh-CN"/>
        </w:rPr>
        <w:t>2</w:t>
      </w:r>
      <w:r>
        <w:rPr>
          <w:rFonts w:hint="eastAsia"/>
          <w:color w:val="000000" w:themeColor="text1"/>
          <w:lang w:eastAsia="zh-CN"/>
        </w:rPr>
        <w:t>时0分。</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keepNext w:val="0"/>
        <w:keepLines w:val="0"/>
        <w:pageBreakBefore w:val="0"/>
        <w:widowControl w:val="0"/>
        <w:tabs>
          <w:tab w:val="left" w:pos="6879"/>
        </w:tabs>
        <w:kinsoku/>
        <w:wordWrap/>
        <w:overflowPunct/>
        <w:topLinePunct w:val="0"/>
        <w:autoSpaceDE w:val="0"/>
        <w:autoSpaceDN w:val="0"/>
        <w:bidi w:val="0"/>
        <w:adjustRightInd/>
        <w:snapToGrid/>
        <w:spacing w:line="360" w:lineRule="auto"/>
        <w:ind w:left="0" w:right="106"/>
        <w:textAlignment w:val="auto"/>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参选单位企业概况（企业简介、经营状况、近3年业绩）、营业执照、资质证书等。</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 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w:t>
      </w:r>
      <w:r>
        <w:rPr>
          <w:rFonts w:hint="eastAsia"/>
          <w:lang w:val="en-US" w:eastAsia="zh-CN"/>
        </w:rPr>
        <w:t>资质</w:t>
      </w:r>
      <w:r>
        <w:rPr>
          <w:rFonts w:hint="eastAsia"/>
          <w:lang w:eastAsia="zh-CN"/>
        </w:rPr>
        <w:t>文件进行评选，</w:t>
      </w:r>
      <w:r>
        <w:rPr>
          <w:rFonts w:hint="eastAsia"/>
          <w:lang w:val="en-US" w:eastAsia="zh-CN"/>
        </w:rPr>
        <w:t>资质</w:t>
      </w:r>
      <w:r>
        <w:rPr>
          <w:rFonts w:hint="eastAsia"/>
          <w:lang w:eastAsia="zh-CN"/>
        </w:rPr>
        <w:t>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w:t>
      </w:r>
      <w:r>
        <w:rPr>
          <w:b/>
          <w:bCs/>
          <w:lang w:eastAsia="zh-CN"/>
        </w:rPr>
        <w:t>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18</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cs="宋体"/>
          <w:i w:val="0"/>
          <w:iCs w:val="0"/>
          <w:caps w:val="0"/>
          <w:color w:val="000000"/>
          <w:spacing w:val="0"/>
          <w:sz w:val="24"/>
          <w:szCs w:val="24"/>
          <w:shd w:val="clear" w:fill="FFFFFF"/>
          <w:lang w:val="en-US" w:eastAsia="zh-CN"/>
        </w:rPr>
        <w:t>本项目</w:t>
      </w: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50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50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6"/>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序号</w:t>
            </w:r>
          </w:p>
        </w:tc>
        <w:tc>
          <w:tcPr>
            <w:tcW w:w="1456"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评议内容</w:t>
            </w:r>
          </w:p>
        </w:tc>
        <w:tc>
          <w:tcPr>
            <w:tcW w:w="851" w:type="dxa"/>
            <w:shd w:val="clear" w:color="auto" w:fill="auto"/>
            <w:noWrap/>
            <w:vAlign w:val="center"/>
          </w:tcPr>
          <w:p>
            <w:pPr>
              <w:widowControl/>
              <w:spacing w:line="240" w:lineRule="auto"/>
              <w:ind w:firstLine="0"/>
              <w:jc w:val="center"/>
              <w:rPr>
                <w:rFonts w:ascii="宋体" w:hAnsi="宋体" w:cs="宋体"/>
                <w:sz w:val="21"/>
              </w:rPr>
            </w:pPr>
            <w:r>
              <w:rPr>
                <w:rFonts w:hint="eastAsia" w:ascii="宋体" w:hAnsi="宋体" w:cs="宋体"/>
                <w:sz w:val="21"/>
              </w:rPr>
              <w:t>分值</w:t>
            </w:r>
          </w:p>
        </w:tc>
        <w:tc>
          <w:tcPr>
            <w:tcW w:w="6897"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firstLineChars="0"/>
              <w:jc w:val="center"/>
              <w:rPr>
                <w:rFonts w:hint="eastAsia" w:ascii="宋体" w:hAnsi="宋体" w:eastAsia="宋体" w:cs="宋体"/>
                <w:sz w:val="21"/>
                <w:lang w:eastAsia="zh-CN"/>
              </w:rPr>
            </w:pPr>
            <w:r>
              <w:rPr>
                <w:rFonts w:hint="eastAsia" w:cs="宋体"/>
                <w:sz w:val="21"/>
                <w:lang w:val="en-US" w:eastAsia="zh-CN"/>
              </w:rPr>
              <w:t>一</w:t>
            </w:r>
          </w:p>
        </w:tc>
        <w:tc>
          <w:tcPr>
            <w:tcW w:w="9204" w:type="dxa"/>
            <w:gridSpan w:val="3"/>
            <w:shd w:val="clear" w:color="auto" w:fill="auto"/>
            <w:noWrap w:val="0"/>
            <w:vAlign w:val="center"/>
          </w:tcPr>
          <w:p>
            <w:pPr>
              <w:widowControl/>
              <w:spacing w:line="240" w:lineRule="auto"/>
              <w:ind w:firstLine="0" w:firstLineChars="0"/>
              <w:rPr>
                <w:rFonts w:hint="eastAsia" w:ascii="宋体" w:hAnsi="宋体" w:cs="宋体"/>
                <w:b/>
                <w:sz w:val="21"/>
              </w:rPr>
            </w:pPr>
            <w:r>
              <w:rPr>
                <w:rFonts w:hint="eastAsia" w:ascii="宋体" w:hAnsi="宋体" w:cs="宋体"/>
                <w:b/>
                <w:sz w:val="21"/>
              </w:rPr>
              <w:t>商务标（满分</w:t>
            </w:r>
            <w:r>
              <w:rPr>
                <w:rFonts w:hint="eastAsia" w:cs="宋体"/>
                <w:b/>
                <w:sz w:val="21"/>
                <w:lang w:val="en-US" w:eastAsia="zh-CN"/>
              </w:rPr>
              <w:t>50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firstLineChars="0"/>
              <w:jc w:val="center"/>
              <w:rPr>
                <w:rFonts w:hint="eastAsia" w:ascii="宋体" w:hAnsi="宋体" w:cs="宋体"/>
                <w:sz w:val="24"/>
                <w:szCs w:val="24"/>
              </w:rPr>
            </w:pPr>
            <w:r>
              <w:rPr>
                <w:rFonts w:hint="eastAsia" w:ascii="宋体" w:hAnsi="宋体" w:cs="宋体"/>
                <w:sz w:val="21"/>
              </w:rPr>
              <w:t>1</w:t>
            </w:r>
          </w:p>
        </w:tc>
        <w:tc>
          <w:tcPr>
            <w:tcW w:w="1456" w:type="dxa"/>
            <w:shd w:val="clear" w:color="auto" w:fill="auto"/>
            <w:noWrap w:val="0"/>
            <w:vAlign w:val="center"/>
          </w:tcPr>
          <w:p>
            <w:pPr>
              <w:tabs>
                <w:tab w:val="left" w:pos="426"/>
                <w:tab w:val="left" w:pos="540"/>
                <w:tab w:val="left" w:pos="993"/>
              </w:tabs>
              <w:jc w:val="center"/>
              <w:rPr>
                <w:rFonts w:hint="eastAsia" w:ascii="宋体" w:hAnsi="宋体" w:cs="宋体"/>
                <w:sz w:val="24"/>
                <w:szCs w:val="24"/>
              </w:rPr>
            </w:pPr>
            <w:r>
              <w:rPr>
                <w:rFonts w:ascii="仿宋" w:hAnsi="仿宋" w:eastAsia="仿宋"/>
                <w:color w:val="000000"/>
                <w:sz w:val="24"/>
              </w:rPr>
              <w:t>报价</w:t>
            </w:r>
          </w:p>
        </w:tc>
        <w:tc>
          <w:tcPr>
            <w:tcW w:w="851" w:type="dxa"/>
            <w:shd w:val="clear" w:color="auto" w:fill="auto"/>
            <w:noWrap w:val="0"/>
            <w:vAlign w:val="center"/>
          </w:tcPr>
          <w:p>
            <w:pPr>
              <w:tabs>
                <w:tab w:val="left" w:pos="426"/>
                <w:tab w:val="left" w:pos="540"/>
                <w:tab w:val="left" w:pos="993"/>
              </w:tabs>
              <w:jc w:val="center"/>
              <w:rPr>
                <w:rFonts w:hint="default" w:ascii="宋体" w:hAnsi="宋体" w:cs="宋体"/>
                <w:sz w:val="24"/>
                <w:szCs w:val="24"/>
                <w:lang w:val="en-US"/>
              </w:rPr>
            </w:pPr>
            <w:r>
              <w:rPr>
                <w:rFonts w:hint="eastAsia" w:ascii="仿宋" w:hAnsi="仿宋" w:eastAsia="仿宋"/>
                <w:sz w:val="24"/>
                <w:lang w:val="en-US" w:eastAsia="zh-CN"/>
              </w:rPr>
              <w:t>50</w:t>
            </w:r>
          </w:p>
        </w:tc>
        <w:tc>
          <w:tcPr>
            <w:tcW w:w="6897" w:type="dxa"/>
            <w:shd w:val="clear" w:color="auto" w:fill="auto"/>
            <w:noWrap w:val="0"/>
            <w:vAlign w:val="top"/>
          </w:tcPr>
          <w:p>
            <w:pPr>
              <w:tabs>
                <w:tab w:val="left" w:pos="426"/>
                <w:tab w:val="left" w:pos="540"/>
                <w:tab w:val="left" w:pos="993"/>
              </w:tabs>
              <w:rPr>
                <w:rFonts w:ascii="仿宋" w:hAnsi="仿宋" w:eastAsia="仿宋"/>
                <w:sz w:val="24"/>
              </w:rPr>
            </w:pPr>
            <w:r>
              <w:rPr>
                <w:rFonts w:ascii="仿宋" w:hAnsi="仿宋" w:eastAsia="仿宋"/>
                <w:sz w:val="24"/>
              </w:rPr>
              <w:t>投标价格得分=( F低/ Fn)×</w:t>
            </w:r>
            <w:r>
              <w:rPr>
                <w:rFonts w:hint="eastAsia" w:ascii="仿宋" w:hAnsi="仿宋" w:eastAsia="仿宋"/>
                <w:sz w:val="24"/>
                <w:lang w:val="en-US" w:eastAsia="zh-CN"/>
              </w:rPr>
              <w:t>5</w:t>
            </w:r>
            <w:r>
              <w:rPr>
                <w:rFonts w:hint="eastAsia" w:ascii="仿宋" w:hAnsi="仿宋" w:eastAsia="仿宋"/>
                <w:sz w:val="24"/>
              </w:rPr>
              <w:t>0</w:t>
            </w:r>
          </w:p>
          <w:p>
            <w:pPr>
              <w:tabs>
                <w:tab w:val="left" w:pos="426"/>
                <w:tab w:val="left" w:pos="540"/>
                <w:tab w:val="left" w:pos="993"/>
              </w:tabs>
              <w:rPr>
                <w:rFonts w:ascii="仿宋" w:hAnsi="仿宋" w:eastAsia="仿宋"/>
                <w:sz w:val="24"/>
              </w:rPr>
            </w:pPr>
            <w:r>
              <w:rPr>
                <w:rFonts w:ascii="仿宋" w:hAnsi="仿宋" w:eastAsia="仿宋"/>
                <w:sz w:val="24"/>
              </w:rPr>
              <w:t>式中：</w:t>
            </w:r>
            <w:r>
              <w:rPr>
                <w:rFonts w:hint="eastAsia" w:ascii="仿宋" w:hAnsi="仿宋" w:eastAsia="仿宋" w:cs="宋体"/>
                <w:sz w:val="24"/>
              </w:rPr>
              <w:t>①</w:t>
            </w:r>
            <w:r>
              <w:rPr>
                <w:rFonts w:ascii="仿宋" w:hAnsi="仿宋" w:eastAsia="仿宋"/>
                <w:sz w:val="24"/>
              </w:rPr>
              <w:t>F低为评标基准价=进入报价部分评分的各合格投标人中最低的报价评标价。</w:t>
            </w:r>
          </w:p>
          <w:p>
            <w:pPr>
              <w:tabs>
                <w:tab w:val="left" w:pos="426"/>
                <w:tab w:val="left" w:pos="540"/>
                <w:tab w:val="left" w:pos="993"/>
              </w:tabs>
              <w:rPr>
                <w:rFonts w:hint="eastAsia" w:ascii="宋体" w:hAnsi="宋体" w:cs="宋体"/>
                <w:sz w:val="24"/>
                <w:szCs w:val="24"/>
              </w:rPr>
            </w:pPr>
            <w:r>
              <w:rPr>
                <w:rFonts w:hint="eastAsia" w:ascii="仿宋" w:hAnsi="仿宋" w:eastAsia="仿宋" w:cs="宋体"/>
                <w:sz w:val="24"/>
              </w:rPr>
              <w:t>②</w:t>
            </w:r>
            <w:r>
              <w:rPr>
                <w:rFonts w:ascii="仿宋" w:hAnsi="仿宋" w:eastAsia="仿宋"/>
                <w:sz w:val="24"/>
              </w:rPr>
              <w:t>Fn为进入报价部分评分的各合格投标人的报价评标价。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noWrap w:val="0"/>
            <w:vAlign w:val="center"/>
          </w:tcPr>
          <w:p>
            <w:pPr>
              <w:widowControl/>
              <w:spacing w:line="240" w:lineRule="auto"/>
              <w:ind w:firstLine="0"/>
              <w:jc w:val="center"/>
              <w:rPr>
                <w:rFonts w:hint="eastAsia" w:ascii="宋体" w:hAnsi="宋体" w:eastAsia="宋体" w:cs="宋体"/>
                <w:sz w:val="21"/>
                <w:lang w:eastAsia="zh-CN"/>
              </w:rPr>
            </w:pPr>
            <w:r>
              <w:rPr>
                <w:rFonts w:hint="eastAsia" w:cs="宋体"/>
                <w:sz w:val="21"/>
                <w:lang w:val="en-US" w:eastAsia="zh-CN"/>
              </w:rPr>
              <w:t>二</w:t>
            </w:r>
          </w:p>
        </w:tc>
        <w:tc>
          <w:tcPr>
            <w:tcW w:w="9204" w:type="dxa"/>
            <w:gridSpan w:val="3"/>
            <w:shd w:val="clear" w:color="auto" w:fill="auto"/>
            <w:noWrap w:val="0"/>
            <w:vAlign w:val="center"/>
          </w:tcPr>
          <w:p>
            <w:pPr>
              <w:widowControl/>
              <w:spacing w:line="240" w:lineRule="auto"/>
              <w:ind w:firstLine="0"/>
              <w:rPr>
                <w:rFonts w:ascii="宋体" w:hAnsi="宋体" w:cs="宋体"/>
                <w:b/>
                <w:sz w:val="21"/>
              </w:rPr>
            </w:pPr>
            <w:r>
              <w:rPr>
                <w:rFonts w:hint="eastAsia" w:ascii="宋体" w:hAnsi="宋体" w:cs="宋体"/>
                <w:b/>
                <w:sz w:val="21"/>
              </w:rPr>
              <w:t>技术标（满分</w:t>
            </w:r>
            <w:r>
              <w:rPr>
                <w:rFonts w:hint="eastAsia" w:cs="宋体"/>
                <w:b/>
                <w:sz w:val="21"/>
                <w:lang w:val="en-US" w:eastAsia="zh-CN"/>
              </w:rPr>
              <w:t>50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1</w:t>
            </w:r>
          </w:p>
        </w:tc>
        <w:tc>
          <w:tcPr>
            <w:tcW w:w="1456" w:type="dxa"/>
            <w:shd w:val="clear" w:color="auto" w:fill="auto"/>
            <w:noWrap w:val="0"/>
            <w:vAlign w:val="center"/>
          </w:tcPr>
          <w:p>
            <w:pPr>
              <w:tabs>
                <w:tab w:val="left" w:pos="426"/>
                <w:tab w:val="left" w:pos="540"/>
                <w:tab w:val="left" w:pos="993"/>
              </w:tabs>
              <w:jc w:val="both"/>
              <w:rPr>
                <w:rFonts w:hint="eastAsia" w:ascii="仿宋" w:hAnsi="仿宋" w:eastAsia="仿宋"/>
                <w:sz w:val="24"/>
              </w:rPr>
            </w:pPr>
            <w:r>
              <w:rPr>
                <w:rFonts w:hint="eastAsia" w:ascii="仿宋" w:hAnsi="仿宋" w:eastAsia="仿宋"/>
                <w:sz w:val="24"/>
              </w:rPr>
              <w:t>专业著作</w:t>
            </w:r>
          </w:p>
        </w:tc>
        <w:tc>
          <w:tcPr>
            <w:tcW w:w="851" w:type="dxa"/>
            <w:shd w:val="clear" w:color="auto" w:fill="auto"/>
            <w:noWrap/>
            <w:vAlign w:val="center"/>
          </w:tcPr>
          <w:p>
            <w:pPr>
              <w:tabs>
                <w:tab w:val="left" w:pos="426"/>
                <w:tab w:val="left" w:pos="540"/>
                <w:tab w:val="left" w:pos="993"/>
              </w:tabs>
              <w:jc w:val="center"/>
              <w:rPr>
                <w:rFonts w:hint="default" w:ascii="仿宋" w:hAnsi="仿宋" w:eastAsia="仿宋"/>
                <w:sz w:val="24"/>
                <w:lang w:val="en-US" w:eastAsia="zh-CN"/>
              </w:rPr>
            </w:pPr>
            <w:r>
              <w:rPr>
                <w:rFonts w:hint="eastAsia" w:ascii="仿宋" w:hAnsi="仿宋" w:eastAsia="仿宋"/>
                <w:sz w:val="24"/>
              </w:rPr>
              <w:t>20</w:t>
            </w:r>
          </w:p>
        </w:tc>
        <w:tc>
          <w:tcPr>
            <w:tcW w:w="6897" w:type="dxa"/>
            <w:shd w:val="clear" w:color="auto" w:fill="auto"/>
            <w:noWrap w:val="0"/>
            <w:vAlign w:val="center"/>
          </w:tcPr>
          <w:p>
            <w:pPr>
              <w:tabs>
                <w:tab w:val="left" w:pos="426"/>
                <w:tab w:val="left" w:pos="540"/>
                <w:tab w:val="left" w:pos="993"/>
              </w:tabs>
              <w:jc w:val="both"/>
              <w:rPr>
                <w:rFonts w:hint="eastAsia" w:ascii="仿宋" w:hAnsi="仿宋" w:eastAsia="仿宋"/>
                <w:sz w:val="24"/>
              </w:rPr>
            </w:pPr>
            <w:r>
              <w:rPr>
                <w:rFonts w:hint="eastAsia" w:ascii="仿宋" w:hAnsi="仿宋" w:eastAsia="仿宋"/>
                <w:sz w:val="24"/>
              </w:rPr>
              <w:t>曾经出版过加工贸易相关的专业著作（提供出版著作信息），每拥有1本著作得5分，以此累计，最高20分。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2</w:t>
            </w:r>
          </w:p>
        </w:tc>
        <w:tc>
          <w:tcPr>
            <w:tcW w:w="1456" w:type="dxa"/>
            <w:shd w:val="clear" w:color="auto" w:fill="auto"/>
            <w:noWrap w:val="0"/>
            <w:vAlign w:val="center"/>
          </w:tcPr>
          <w:p>
            <w:pPr>
              <w:tabs>
                <w:tab w:val="left" w:pos="426"/>
                <w:tab w:val="left" w:pos="540"/>
                <w:tab w:val="left" w:pos="993"/>
              </w:tabs>
              <w:jc w:val="both"/>
              <w:rPr>
                <w:rFonts w:hint="default" w:ascii="仿宋" w:hAnsi="仿宋" w:eastAsia="仿宋"/>
                <w:sz w:val="24"/>
                <w:lang w:val="en-US" w:eastAsia="zh-CN"/>
              </w:rPr>
            </w:pPr>
            <w:r>
              <w:rPr>
                <w:rFonts w:hint="eastAsia" w:ascii="仿宋" w:hAnsi="仿宋" w:eastAsia="仿宋"/>
                <w:sz w:val="24"/>
              </w:rPr>
              <w:t>课题研究、平台建设</w:t>
            </w:r>
          </w:p>
        </w:tc>
        <w:tc>
          <w:tcPr>
            <w:tcW w:w="851" w:type="dxa"/>
            <w:shd w:val="clear" w:color="auto" w:fill="auto"/>
            <w:noWrap/>
            <w:vAlign w:val="center"/>
          </w:tcPr>
          <w:p>
            <w:pPr>
              <w:tabs>
                <w:tab w:val="left" w:pos="426"/>
                <w:tab w:val="left" w:pos="540"/>
                <w:tab w:val="left" w:pos="993"/>
              </w:tabs>
              <w:jc w:val="center"/>
              <w:rPr>
                <w:rFonts w:hint="default" w:ascii="仿宋" w:hAnsi="仿宋" w:eastAsia="仿宋"/>
                <w:sz w:val="24"/>
                <w:lang w:val="en-US" w:eastAsia="zh-CN"/>
              </w:rPr>
            </w:pPr>
            <w:r>
              <w:rPr>
                <w:rFonts w:hint="eastAsia" w:ascii="仿宋" w:hAnsi="仿宋" w:eastAsia="仿宋"/>
                <w:sz w:val="24"/>
              </w:rPr>
              <w:t>20</w:t>
            </w:r>
          </w:p>
        </w:tc>
        <w:tc>
          <w:tcPr>
            <w:tcW w:w="6897" w:type="dxa"/>
            <w:shd w:val="clear" w:color="auto" w:fill="auto"/>
            <w:noWrap w:val="0"/>
            <w:vAlign w:val="center"/>
          </w:tcPr>
          <w:p>
            <w:pPr>
              <w:tabs>
                <w:tab w:val="left" w:pos="426"/>
                <w:tab w:val="left" w:pos="540"/>
                <w:tab w:val="left" w:pos="993"/>
              </w:tabs>
              <w:jc w:val="both"/>
              <w:rPr>
                <w:rFonts w:hint="eastAsia" w:ascii="仿宋" w:hAnsi="仿宋" w:eastAsia="仿宋"/>
                <w:sz w:val="24"/>
                <w:lang w:eastAsia="zh-CN"/>
              </w:rPr>
            </w:pPr>
            <w:r>
              <w:rPr>
                <w:rFonts w:hint="eastAsia" w:ascii="仿宋" w:hAnsi="仿宋" w:eastAsia="仿宋"/>
                <w:sz w:val="24"/>
                <w:lang w:eastAsia="zh-CN"/>
              </w:rPr>
              <w:t>曾经参加海关、地方政府与保税经济、加工贸易相关的课题研究、平台建设（提供项目合同）；每提供一份项目合同得5分，以此累计，最高20分。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3</w:t>
            </w:r>
          </w:p>
        </w:tc>
        <w:tc>
          <w:tcPr>
            <w:tcW w:w="1456" w:type="dxa"/>
            <w:shd w:val="clear" w:color="auto" w:fill="auto"/>
            <w:noWrap w:val="0"/>
            <w:vAlign w:val="center"/>
          </w:tcPr>
          <w:p>
            <w:pPr>
              <w:tabs>
                <w:tab w:val="left" w:pos="426"/>
                <w:tab w:val="left" w:pos="540"/>
                <w:tab w:val="left" w:pos="993"/>
              </w:tabs>
              <w:jc w:val="both"/>
              <w:rPr>
                <w:rFonts w:hint="default" w:ascii="仿宋" w:hAnsi="仿宋" w:eastAsia="仿宋"/>
                <w:sz w:val="24"/>
                <w:lang w:val="en-US" w:eastAsia="zh-CN"/>
              </w:rPr>
            </w:pPr>
            <w:r>
              <w:rPr>
                <w:rFonts w:hint="eastAsia" w:ascii="仿宋" w:hAnsi="仿宋" w:eastAsia="仿宋"/>
                <w:sz w:val="24"/>
                <w:lang w:eastAsia="zh-CN"/>
              </w:rPr>
              <w:t>专项咨询服务</w:t>
            </w:r>
          </w:p>
        </w:tc>
        <w:tc>
          <w:tcPr>
            <w:tcW w:w="851" w:type="dxa"/>
            <w:shd w:val="clear" w:color="auto" w:fill="auto"/>
            <w:noWrap/>
            <w:vAlign w:val="center"/>
          </w:tcPr>
          <w:p>
            <w:pPr>
              <w:tabs>
                <w:tab w:val="left" w:pos="426"/>
                <w:tab w:val="left" w:pos="540"/>
                <w:tab w:val="left" w:pos="993"/>
              </w:tabs>
              <w:jc w:val="center"/>
              <w:rPr>
                <w:rFonts w:hint="eastAsia" w:ascii="仿宋" w:hAnsi="仿宋" w:eastAsia="仿宋"/>
                <w:sz w:val="24"/>
                <w:lang w:val="en-US" w:eastAsia="zh-CN"/>
              </w:rPr>
            </w:pPr>
            <w:r>
              <w:rPr>
                <w:rFonts w:hint="eastAsia" w:ascii="仿宋" w:hAnsi="仿宋" w:eastAsia="仿宋"/>
                <w:sz w:val="24"/>
                <w:lang w:eastAsia="zh-CN"/>
              </w:rPr>
              <w:t>10</w:t>
            </w:r>
          </w:p>
        </w:tc>
        <w:tc>
          <w:tcPr>
            <w:tcW w:w="6897" w:type="dxa"/>
            <w:shd w:val="clear" w:color="auto" w:fill="auto"/>
            <w:noWrap w:val="0"/>
            <w:vAlign w:val="center"/>
          </w:tcPr>
          <w:p>
            <w:pPr>
              <w:tabs>
                <w:tab w:val="left" w:pos="426"/>
                <w:tab w:val="left" w:pos="540"/>
                <w:tab w:val="left" w:pos="993"/>
              </w:tabs>
              <w:jc w:val="both"/>
              <w:rPr>
                <w:rFonts w:hint="eastAsia" w:ascii="仿宋" w:hAnsi="仿宋" w:eastAsia="仿宋"/>
                <w:sz w:val="24"/>
                <w:lang w:eastAsia="zh-CN"/>
              </w:rPr>
            </w:pPr>
            <w:r>
              <w:rPr>
                <w:rFonts w:hint="eastAsia" w:ascii="仿宋" w:hAnsi="仿宋" w:eastAsia="仿宋"/>
                <w:sz w:val="24"/>
                <w:lang w:eastAsia="zh-CN"/>
              </w:rPr>
              <w:t>为加工贸易企业提供过专项咨询服务（提供合同），每提供一份专项咨询服务合同得5分，以此累计，最高10分。</w:t>
            </w:r>
          </w:p>
        </w:tc>
      </w:tr>
    </w:tbl>
    <w:p>
      <w:pPr>
        <w:pStyle w:val="2"/>
        <w:rPr>
          <w:rFonts w:hint="eastAsi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福建福海创石油化工有限公司</w:t>
      </w:r>
    </w:p>
    <w:p>
      <w:pPr>
        <w:jc w:val="center"/>
        <w:rPr>
          <w:b/>
          <w:sz w:val="44"/>
          <w:szCs w:val="44"/>
          <w:lang w:eastAsia="zh-CN"/>
        </w:rPr>
      </w:pPr>
    </w:p>
    <w:p>
      <w:pPr>
        <w:jc w:val="center"/>
        <w:rPr>
          <w:b/>
          <w:color w:val="000000"/>
          <w:sz w:val="44"/>
          <w:szCs w:val="44"/>
          <w:lang w:eastAsia="zh-CN"/>
        </w:rPr>
      </w:pPr>
    </w:p>
    <w:p>
      <w:pPr>
        <w:pStyle w:val="2"/>
      </w:pPr>
    </w:p>
    <w:p>
      <w:pPr>
        <w:spacing w:line="480" w:lineRule="exact"/>
        <w:jc w:val="center"/>
        <w:rPr>
          <w:b/>
          <w:color w:val="000000"/>
          <w:sz w:val="44"/>
          <w:szCs w:val="44"/>
          <w:lang w:eastAsia="zh-CN"/>
        </w:rPr>
      </w:pPr>
      <w:r>
        <w:rPr>
          <w:rFonts w:hint="eastAsia"/>
          <w:b/>
          <w:color w:val="000000"/>
          <w:sz w:val="44"/>
          <w:szCs w:val="44"/>
          <w:lang w:val="en-US" w:eastAsia="zh-CN"/>
        </w:rPr>
        <w:t>福海创聚酯链团队加工贸易专项业务评估报告编制</w:t>
      </w:r>
      <w:r>
        <w:rPr>
          <w:b/>
          <w:color w:val="000000"/>
          <w:sz w:val="44"/>
          <w:szCs w:val="44"/>
          <w:lang w:eastAsia="zh-CN"/>
        </w:rPr>
        <w:t>技术咨询服务合同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rPr>
          <w:b/>
          <w:sz w:val="30"/>
          <w:lang w:eastAsia="zh-CN"/>
        </w:rPr>
      </w:pPr>
    </w:p>
    <w:p>
      <w:pPr>
        <w:ind w:firstLine="960" w:firstLineChars="300"/>
        <w:rPr>
          <w:rFonts w:hint="eastAsia"/>
          <w:sz w:val="32"/>
          <w:szCs w:val="32"/>
          <w:lang w:eastAsia="zh-CN"/>
        </w:rPr>
      </w:pPr>
      <w:r>
        <w:rPr>
          <w:rFonts w:hint="eastAsia"/>
          <w:sz w:val="32"/>
          <w:szCs w:val="32"/>
          <w:lang w:eastAsia="zh-CN"/>
        </w:rPr>
        <w:t>委托方：</w:t>
      </w:r>
      <w:r>
        <w:rPr>
          <w:rFonts w:hint="eastAsia"/>
          <w:sz w:val="32"/>
          <w:szCs w:val="32"/>
          <w:lang w:val="en-US" w:eastAsia="zh-CN"/>
        </w:rPr>
        <w:t>福建福海创石油化工</w:t>
      </w:r>
      <w:r>
        <w:rPr>
          <w:rFonts w:hint="eastAsia"/>
          <w:sz w:val="32"/>
          <w:szCs w:val="32"/>
          <w:lang w:eastAsia="zh-CN"/>
        </w:rPr>
        <w:t xml:space="preserve">有限公司 </w:t>
      </w:r>
    </w:p>
    <w:p>
      <w:pPr>
        <w:ind w:firstLine="960" w:firstLineChars="300"/>
        <w:rPr>
          <w:rFonts w:hint="default"/>
          <w:sz w:val="32"/>
          <w:szCs w:val="32"/>
          <w:lang w:val="en-US" w:eastAsia="zh-CN"/>
        </w:rPr>
      </w:pPr>
      <w:r>
        <w:rPr>
          <w:rFonts w:hint="eastAsia"/>
          <w:sz w:val="32"/>
          <w:szCs w:val="32"/>
          <w:lang w:val="en-US" w:eastAsia="zh-CN"/>
        </w:rPr>
        <w:t xml:space="preserve">        </w:t>
      </w:r>
    </w:p>
    <w:p>
      <w:pPr>
        <w:ind w:firstLine="960" w:firstLineChars="300"/>
        <w:rPr>
          <w:sz w:val="32"/>
          <w:szCs w:val="32"/>
          <w:lang w:eastAsia="zh-CN"/>
        </w:rPr>
      </w:pPr>
      <w:r>
        <w:rPr>
          <w:rFonts w:hint="eastAsia"/>
          <w:sz w:val="32"/>
          <w:szCs w:val="32"/>
          <w:lang w:eastAsia="zh-CN"/>
        </w:rPr>
        <w:t xml:space="preserve">受托方：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tabs>
          <w:tab w:val="left" w:pos="2130"/>
          <w:tab w:val="center" w:pos="4535"/>
        </w:tabs>
        <w:jc w:val="center"/>
        <w:rPr>
          <w:b/>
          <w:sz w:val="30"/>
          <w:szCs w:val="30"/>
          <w:lang w:eastAsia="zh-CN"/>
        </w:rPr>
      </w:pPr>
    </w:p>
    <w:p>
      <w:pPr>
        <w:spacing w:line="360" w:lineRule="auto"/>
        <w:rPr>
          <w:rFonts w:hAnsi="宋体" w:cs="Courier New"/>
          <w:lang w:eastAsia="zh-CN"/>
        </w:rPr>
      </w:pPr>
      <w:r>
        <w:rPr>
          <w:b/>
          <w:sz w:val="30"/>
          <w:szCs w:val="30"/>
          <w:lang w:eastAsia="zh-CN"/>
        </w:rPr>
        <w:br w:type="page"/>
      </w:r>
      <w:r>
        <w:rPr>
          <w:rFonts w:hint="eastAsia" w:ascii="宋体" w:hAnsi="宋体" w:eastAsia="宋体" w:cs="Courier New"/>
          <w:sz w:val="22"/>
          <w:szCs w:val="21"/>
          <w:lang w:val="en-US" w:eastAsia="zh-CN" w:bidi="ar-SA"/>
        </w:rPr>
        <w:t>委托方（甲方）：</w:t>
      </w:r>
      <w:r>
        <w:rPr>
          <w:rFonts w:hint="eastAsia" w:hAnsi="宋体" w:cs="Courier New"/>
          <w:lang w:val="en-US" w:eastAsia="zh-CN"/>
        </w:rPr>
        <w:t>福建福海创石油化工有限公司</w:t>
      </w:r>
      <w:r>
        <w:rPr>
          <w:rFonts w:hint="eastAsia" w:hAnsi="宋体" w:cs="Courier New"/>
          <w:lang w:eastAsia="zh-CN"/>
        </w:rPr>
        <w:t xml:space="preserve">        </w:t>
      </w:r>
      <w:r>
        <w:rPr>
          <w:rFonts w:hint="eastAsia" w:hAnsi="宋体" w:cs="Courier New"/>
          <w:lang w:val="en-US" w:eastAsia="zh-CN"/>
        </w:rPr>
        <w:t xml:space="preserve">             </w:t>
      </w:r>
    </w:p>
    <w:p>
      <w:pPr>
        <w:pStyle w:val="25"/>
        <w:spacing w:line="400" w:lineRule="exact"/>
        <w:ind w:left="5940" w:hanging="5940" w:hangingChars="2700"/>
        <w:rPr>
          <w:rFonts w:hAnsi="宋体" w:cs="Courier New"/>
          <w:lang w:eastAsia="zh-CN"/>
        </w:rPr>
      </w:pPr>
      <w:r>
        <w:rPr>
          <w:rFonts w:hint="eastAsia" w:hAnsi="宋体" w:cs="Courier New"/>
          <w:lang w:eastAsia="zh-CN"/>
        </w:rPr>
        <w:t>地</w:t>
      </w:r>
      <w:r>
        <w:rPr>
          <w:rFonts w:hAnsi="宋体" w:cs="Courier New"/>
          <w:lang w:eastAsia="zh-CN"/>
        </w:rPr>
        <w:t xml:space="preserve">  </w:t>
      </w:r>
      <w:r>
        <w:rPr>
          <w:rFonts w:hint="eastAsia" w:hAnsi="宋体" w:cs="Courier New"/>
          <w:lang w:eastAsia="zh-CN"/>
        </w:rPr>
        <w:t>址：</w:t>
      </w:r>
      <w:r>
        <w:rPr>
          <w:rFonts w:hint="eastAsia" w:hAnsi="宋体" w:cs="Courier New"/>
          <w:lang w:val="en-US" w:eastAsia="zh-CN"/>
        </w:rPr>
        <w:t xml:space="preserve"> </w:t>
      </w:r>
      <w:r>
        <w:rPr>
          <w:rFonts w:hint="eastAsia" w:hAnsi="宋体" w:cs="Courier New"/>
          <w:lang w:eastAsia="zh-CN"/>
        </w:rPr>
        <w:t xml:space="preserve">              </w:t>
      </w:r>
      <w:r>
        <w:rPr>
          <w:rFonts w:hint="eastAsia" w:hAnsi="宋体" w:cs="Courier New"/>
          <w:lang w:val="en-US" w:eastAsia="zh-CN"/>
        </w:rPr>
        <w:t xml:space="preserve">         </w:t>
      </w:r>
    </w:p>
    <w:p>
      <w:pPr>
        <w:pStyle w:val="25"/>
        <w:spacing w:line="400" w:lineRule="exact"/>
        <w:rPr>
          <w:rFonts w:hAnsi="宋体" w:cs="Courier New"/>
          <w:lang w:eastAsia="zh-CN"/>
        </w:rPr>
      </w:pPr>
      <w:r>
        <w:rPr>
          <w:rFonts w:hint="eastAsia" w:hAnsi="宋体" w:cs="Courier New"/>
          <w:lang w:eastAsia="zh-CN"/>
        </w:rPr>
        <w:t>开户行：</w:t>
      </w:r>
    </w:p>
    <w:p>
      <w:pPr>
        <w:pStyle w:val="25"/>
        <w:spacing w:line="400" w:lineRule="exact"/>
        <w:rPr>
          <w:rFonts w:hAnsi="宋体" w:cs="Courier New"/>
          <w:lang w:eastAsia="zh-CN"/>
        </w:rPr>
      </w:pPr>
      <w:r>
        <w:rPr>
          <w:rFonts w:hint="eastAsia" w:hAnsi="宋体" w:cs="Courier New"/>
          <w:lang w:eastAsia="zh-CN"/>
        </w:rPr>
        <w:t>帐</w:t>
      </w:r>
      <w:r>
        <w:rPr>
          <w:rFonts w:hAnsi="宋体" w:cs="Courier New"/>
          <w:lang w:eastAsia="zh-CN"/>
        </w:rPr>
        <w:t xml:space="preserve">  </w:t>
      </w:r>
      <w:r>
        <w:rPr>
          <w:rFonts w:hint="eastAsia" w:hAnsi="宋体" w:cs="Courier New"/>
          <w:lang w:eastAsia="zh-CN"/>
        </w:rPr>
        <w:t xml:space="preserve">号：                </w:t>
      </w:r>
      <w:r>
        <w:rPr>
          <w:rFonts w:hint="eastAsia" w:hAnsi="宋体" w:cs="Courier New"/>
          <w:lang w:val="en-US" w:eastAsia="zh-CN"/>
        </w:rPr>
        <w:t xml:space="preserve">   </w:t>
      </w:r>
    </w:p>
    <w:p>
      <w:pPr>
        <w:pStyle w:val="25"/>
        <w:spacing w:line="400" w:lineRule="exact"/>
        <w:rPr>
          <w:rFonts w:hAnsi="宋体" w:cs="Courier New"/>
          <w:lang w:eastAsia="zh-CN"/>
        </w:rPr>
      </w:pPr>
      <w:r>
        <w:rPr>
          <w:rFonts w:hint="eastAsia" w:hAnsi="宋体" w:cs="Courier New"/>
          <w:lang w:eastAsia="zh-CN"/>
        </w:rPr>
        <w:t>税</w:t>
      </w:r>
      <w:r>
        <w:rPr>
          <w:rFonts w:hAnsi="宋体" w:cs="Courier New"/>
          <w:lang w:eastAsia="zh-CN"/>
        </w:rPr>
        <w:t xml:space="preserve">  </w:t>
      </w:r>
      <w:r>
        <w:rPr>
          <w:rFonts w:hint="eastAsia" w:hAnsi="宋体" w:cs="Courier New"/>
          <w:lang w:eastAsia="zh-CN"/>
        </w:rPr>
        <w:t xml:space="preserve">号：             </w:t>
      </w:r>
      <w:r>
        <w:rPr>
          <w:rFonts w:hint="eastAsia" w:hAnsi="宋体" w:cs="Courier New"/>
          <w:lang w:val="en-US" w:eastAsia="zh-CN"/>
        </w:rPr>
        <w:t xml:space="preserve">   </w:t>
      </w:r>
      <w:r>
        <w:rPr>
          <w:rFonts w:hint="eastAsia" w:hAnsi="宋体" w:cs="Courier New"/>
          <w:lang w:eastAsia="zh-CN"/>
        </w:rPr>
        <w:t xml:space="preserve"> </w:t>
      </w:r>
    </w:p>
    <w:p>
      <w:pPr>
        <w:pStyle w:val="25"/>
        <w:spacing w:line="400" w:lineRule="exact"/>
        <w:rPr>
          <w:rFonts w:hAnsi="宋体" w:cs="Courier New"/>
          <w:lang w:eastAsia="zh-CN"/>
        </w:rPr>
      </w:pPr>
      <w:r>
        <w:rPr>
          <w:rFonts w:hint="eastAsia" w:hAnsi="宋体" w:cs="Courier New"/>
          <w:lang w:eastAsia="zh-CN"/>
        </w:rPr>
        <w:t>电</w:t>
      </w:r>
      <w:r>
        <w:rPr>
          <w:rFonts w:hAnsi="宋体" w:cs="Courier New"/>
          <w:lang w:eastAsia="zh-CN"/>
        </w:rPr>
        <w:t xml:space="preserve">  </w:t>
      </w:r>
      <w:r>
        <w:rPr>
          <w:rFonts w:hint="eastAsia" w:hAnsi="宋体" w:cs="Courier New"/>
          <w:lang w:eastAsia="zh-CN"/>
        </w:rPr>
        <w:t xml:space="preserve">话：                  </w:t>
      </w:r>
      <w:r>
        <w:rPr>
          <w:rFonts w:hint="eastAsia" w:hAnsi="宋体" w:cs="Courier New"/>
          <w:lang w:val="en-US" w:eastAsia="zh-CN"/>
        </w:rPr>
        <w:t xml:space="preserve">   </w:t>
      </w:r>
    </w:p>
    <w:p>
      <w:pPr>
        <w:pStyle w:val="25"/>
        <w:spacing w:line="400" w:lineRule="exact"/>
        <w:rPr>
          <w:rFonts w:hAnsi="宋体"/>
          <w:lang w:eastAsia="zh-CN"/>
        </w:rPr>
      </w:pPr>
    </w:p>
    <w:p>
      <w:pPr>
        <w:pStyle w:val="25"/>
        <w:spacing w:line="400" w:lineRule="exact"/>
        <w:rPr>
          <w:rFonts w:hAnsi="宋体"/>
          <w:lang w:eastAsia="zh-CN"/>
        </w:rPr>
      </w:pPr>
      <w:r>
        <w:rPr>
          <w:rFonts w:hAnsi="宋体"/>
          <w:lang w:eastAsia="zh-CN"/>
        </w:rPr>
        <w:t>受托方（乙方）</w:t>
      </w:r>
      <w:r>
        <w:rPr>
          <w:rFonts w:hint="eastAsia" w:hAnsi="宋体"/>
          <w:lang w:eastAsia="zh-CN"/>
        </w:rPr>
        <w:t>：</w:t>
      </w:r>
    </w:p>
    <w:p>
      <w:pPr>
        <w:pStyle w:val="25"/>
        <w:spacing w:line="400" w:lineRule="exact"/>
        <w:rPr>
          <w:rFonts w:hAnsi="宋体"/>
          <w:lang w:eastAsia="zh-CN"/>
        </w:rPr>
      </w:pPr>
      <w:r>
        <w:rPr>
          <w:rFonts w:hAnsi="宋体"/>
          <w:lang w:eastAsia="zh-CN"/>
        </w:rPr>
        <w:t>住  所  地</w:t>
      </w:r>
      <w:r>
        <w:rPr>
          <w:rFonts w:hint="eastAsia" w:hAnsi="宋体"/>
          <w:lang w:eastAsia="zh-CN"/>
        </w:rPr>
        <w:t>：</w:t>
      </w:r>
    </w:p>
    <w:p>
      <w:pPr>
        <w:pStyle w:val="25"/>
        <w:spacing w:line="400" w:lineRule="exact"/>
        <w:rPr>
          <w:rFonts w:hAnsi="宋体"/>
          <w:lang w:eastAsia="zh-CN"/>
        </w:rPr>
      </w:pPr>
      <w:r>
        <w:rPr>
          <w:rFonts w:hAnsi="宋体"/>
          <w:lang w:eastAsia="zh-CN"/>
        </w:rPr>
        <w:t>法定代表人</w:t>
      </w:r>
      <w:r>
        <w:rPr>
          <w:rFonts w:hint="eastAsia" w:hAnsi="宋体"/>
          <w:lang w:eastAsia="zh-CN"/>
        </w:rPr>
        <w:t>：</w:t>
      </w:r>
    </w:p>
    <w:p>
      <w:pPr>
        <w:pStyle w:val="25"/>
        <w:spacing w:line="400" w:lineRule="exact"/>
        <w:rPr>
          <w:rFonts w:hAnsi="宋体"/>
          <w:lang w:eastAsia="zh-CN"/>
        </w:rPr>
      </w:pPr>
      <w:r>
        <w:rPr>
          <w:rFonts w:hint="eastAsia" w:hAnsi="宋体"/>
          <w:lang w:eastAsia="zh-CN"/>
        </w:rPr>
        <w:t>项目联系人:</w:t>
      </w:r>
    </w:p>
    <w:p>
      <w:pPr>
        <w:pStyle w:val="25"/>
        <w:spacing w:line="400" w:lineRule="exact"/>
        <w:rPr>
          <w:rFonts w:hAnsi="宋体"/>
          <w:lang w:eastAsia="zh-CN"/>
        </w:rPr>
      </w:pPr>
      <w:r>
        <w:rPr>
          <w:rFonts w:hAnsi="宋体"/>
          <w:lang w:eastAsia="zh-CN"/>
        </w:rPr>
        <w:t>通讯地址</w:t>
      </w:r>
      <w:r>
        <w:rPr>
          <w:rFonts w:hint="eastAsia" w:hAnsi="宋体"/>
          <w:lang w:eastAsia="zh-CN"/>
        </w:rPr>
        <w:t>：</w:t>
      </w:r>
    </w:p>
    <w:p>
      <w:pPr>
        <w:pStyle w:val="25"/>
        <w:spacing w:line="400" w:lineRule="exact"/>
        <w:rPr>
          <w:rFonts w:hAnsi="宋体"/>
          <w:lang w:eastAsia="zh-CN"/>
        </w:rPr>
      </w:pPr>
      <w:r>
        <w:rPr>
          <w:rFonts w:hAnsi="宋体"/>
          <w:lang w:eastAsia="zh-CN"/>
        </w:rPr>
        <w:t>电    话</w:t>
      </w:r>
      <w:r>
        <w:rPr>
          <w:rFonts w:hint="eastAsia" w:hAnsi="宋体"/>
          <w:lang w:eastAsia="zh-CN"/>
        </w:rPr>
        <w:t>：</w:t>
      </w:r>
    </w:p>
    <w:p>
      <w:pPr>
        <w:pStyle w:val="25"/>
        <w:spacing w:line="400" w:lineRule="exact"/>
        <w:rPr>
          <w:rFonts w:hAnsi="宋体"/>
          <w:lang w:eastAsia="zh-CN"/>
        </w:rPr>
      </w:pPr>
      <w:r>
        <w:rPr>
          <w:rFonts w:hAnsi="宋体"/>
          <w:lang w:eastAsia="zh-CN"/>
        </w:rPr>
        <w:t>传    真：</w:t>
      </w:r>
    </w:p>
    <w:p>
      <w:pPr>
        <w:pStyle w:val="25"/>
        <w:spacing w:line="400" w:lineRule="exact"/>
        <w:rPr>
          <w:rFonts w:hAnsi="宋体"/>
          <w:lang w:eastAsia="zh-CN"/>
        </w:rPr>
      </w:pPr>
      <w:r>
        <w:rPr>
          <w:rFonts w:hAnsi="宋体"/>
          <w:lang w:eastAsia="zh-CN"/>
        </w:rPr>
        <w:t>电子信箱</w:t>
      </w:r>
      <w:r>
        <w:rPr>
          <w:rFonts w:hint="eastAsia" w:hAnsi="宋体"/>
          <w:lang w:eastAsia="zh-CN"/>
        </w:rPr>
        <w:t>：</w:t>
      </w:r>
    </w:p>
    <w:p>
      <w:pPr>
        <w:pStyle w:val="25"/>
        <w:spacing w:line="400" w:lineRule="exact"/>
        <w:rPr>
          <w:rFonts w:hAnsi="宋体"/>
          <w:lang w:eastAsia="zh-CN"/>
        </w:rPr>
      </w:pPr>
      <w:r>
        <w:rPr>
          <w:rFonts w:hint="eastAsia" w:hAnsi="宋体"/>
          <w:lang w:eastAsia="zh-CN"/>
        </w:rPr>
        <w:t xml:space="preserve">    </w:t>
      </w:r>
    </w:p>
    <w:p>
      <w:pPr>
        <w:pStyle w:val="25"/>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福海创聚酯链团队加工贸易专项业务评估报告编制</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p>
    <w:p>
      <w:pPr>
        <w:pStyle w:val="25"/>
        <w:spacing w:line="400" w:lineRule="exact"/>
        <w:rPr>
          <w:rFonts w:hAnsi="宋体"/>
          <w:lang w:eastAsia="zh-CN"/>
        </w:rPr>
      </w:pPr>
      <w:r>
        <w:rPr>
          <w:rFonts w:hint="eastAsia" w:hAnsi="宋体"/>
          <w:lang w:eastAsia="zh-CN"/>
        </w:rPr>
        <w:t xml:space="preserve">    第一条　乙方进行技术咨询的内容、要求、方式：</w:t>
      </w:r>
    </w:p>
    <w:p>
      <w:pPr>
        <w:pStyle w:val="25"/>
        <w:spacing w:line="400" w:lineRule="exact"/>
        <w:rPr>
          <w:rFonts w:hAnsi="宋体"/>
          <w:lang w:eastAsia="zh-CN"/>
        </w:rPr>
      </w:pPr>
      <w:r>
        <w:rPr>
          <w:rFonts w:hint="eastAsia" w:hAnsi="宋体"/>
          <w:lang w:eastAsia="zh-CN"/>
        </w:rPr>
        <w:t xml:space="preserve">    1.技术服务及咨询内容：</w:t>
      </w:r>
      <w:r>
        <w:rPr>
          <w:rFonts w:hint="eastAsia" w:hAnsi="宋体"/>
          <w:u w:val="single"/>
          <w:lang w:eastAsia="zh-CN"/>
        </w:rPr>
        <w:t xml:space="preserve">  福海创聚酯链团队加工贸易专项业务评估报告编制      </w:t>
      </w:r>
    </w:p>
    <w:p>
      <w:pPr>
        <w:pStyle w:val="25"/>
        <w:spacing w:line="400" w:lineRule="exact"/>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w:t>
      </w:r>
      <w:r>
        <w:rPr>
          <w:rFonts w:hint="eastAsia" w:hAnsi="宋体"/>
          <w:u w:val="single"/>
          <w:lang w:val="en-US" w:eastAsia="zh-CN"/>
        </w:rPr>
        <w:t xml:space="preserve">/  </w:t>
      </w:r>
      <w:r>
        <w:rPr>
          <w:rFonts w:hint="eastAsia" w:hAnsi="宋体"/>
          <w:u w:val="single"/>
          <w:lang w:eastAsia="zh-CN"/>
        </w:rPr>
        <w:t xml:space="preserve"> </w:t>
      </w:r>
    </w:p>
    <w:p>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left="378" w:leftChars="172" w:right="0" w:firstLine="81" w:firstLineChars="37"/>
        <w:rPr>
          <w:rFonts w:hAnsi="宋体"/>
          <w:u w:val="single"/>
          <w:lang w:eastAsia="zh-CN"/>
        </w:rPr>
      </w:pPr>
      <w:r>
        <w:rPr>
          <w:rFonts w:hint="eastAsia" w:hAnsi="宋体"/>
          <w:lang w:eastAsia="zh-CN"/>
        </w:rPr>
        <w:t>3.技术服务及咨询进度：</w:t>
      </w:r>
      <w:r>
        <w:rPr>
          <w:rFonts w:hint="eastAsia"/>
          <w:u w:val="single"/>
          <w:lang w:val="en-US" w:eastAsia="zh-CN"/>
        </w:rPr>
        <w:t xml:space="preserve">                </w:t>
      </w:r>
      <w:r>
        <w:rPr>
          <w:rFonts w:hint="eastAsia" w:hAnsi="宋体"/>
          <w:u w:val="single"/>
          <w:lang w:eastAsia="zh-CN"/>
        </w:rPr>
        <w:t xml:space="preserve"> </w:t>
      </w:r>
    </w:p>
    <w:p>
      <w:pPr>
        <w:pStyle w:val="25"/>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w:t>
      </w:r>
      <w:r>
        <w:rPr>
          <w:rFonts w:hint="eastAsia" w:hAnsi="宋体"/>
          <w:u w:val="single"/>
          <w:lang w:val="en-US" w:eastAsia="zh-CN"/>
        </w:rPr>
        <w:t>/</w:t>
      </w:r>
      <w:r>
        <w:rPr>
          <w:rFonts w:hint="eastAsia"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编制报告所需要的相关资料    </w:t>
      </w:r>
      <w:r>
        <w:rPr>
          <w:rFonts w:hint="eastAsia" w:hAnsi="宋体"/>
          <w:lang w:eastAsia="zh-CN"/>
        </w:rPr>
        <w:t xml:space="preserve"> </w:t>
      </w:r>
    </w:p>
    <w:p>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400" w:lineRule="exact"/>
        <w:ind w:firstLine="440" w:firstLineChars="200"/>
        <w:rPr>
          <w:rFonts w:hint="eastAsia"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w:t>
      </w:r>
      <w:r>
        <w:rPr>
          <w:rFonts w:hint="eastAsia" w:hAnsi="宋体"/>
          <w:lang w:val="en-US" w:eastAsia="zh-CN"/>
        </w:rPr>
        <w:t xml:space="preserve">   </w:t>
      </w:r>
      <w:r>
        <w:rPr>
          <w:rFonts w:hint="eastAsia" w:hAnsi="宋体"/>
          <w:lang w:eastAsia="zh-CN"/>
        </w:rPr>
        <w:t>%增值税）。</w:t>
      </w:r>
    </w:p>
    <w:p>
      <w:pPr>
        <w:pStyle w:val="25"/>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25"/>
        <w:spacing w:line="400" w:lineRule="exact"/>
        <w:ind w:firstLine="330" w:firstLineChars="150"/>
        <w:rPr>
          <w:rFonts w:hAnsi="宋体"/>
          <w:lang w:eastAsia="zh-CN"/>
        </w:rPr>
      </w:pPr>
      <w:r>
        <w:rPr>
          <w:rFonts w:hint="eastAsia" w:hAnsi="宋体"/>
          <w:lang w:eastAsia="zh-CN"/>
        </w:rPr>
        <w:t>（</w:t>
      </w:r>
      <w:r>
        <w:rPr>
          <w:rFonts w:hAnsi="宋体"/>
          <w:lang w:eastAsia="zh-CN"/>
        </w:rPr>
        <w:t>1</w:t>
      </w:r>
      <w:r>
        <w:rPr>
          <w:rFonts w:hint="eastAsia" w:hAnsi="宋体"/>
          <w:lang w:eastAsia="zh-CN"/>
        </w:rPr>
        <w:t>）乙方按照合同约定提供</w:t>
      </w:r>
      <w:r>
        <w:rPr>
          <w:rFonts w:hAnsi="宋体"/>
          <w:lang w:eastAsia="zh-CN"/>
        </w:rPr>
        <w:t>完整</w:t>
      </w:r>
      <w:r>
        <w:rPr>
          <w:rFonts w:hint="eastAsia" w:hAnsi="宋体"/>
          <w:lang w:eastAsia="zh-CN"/>
        </w:rPr>
        <w:t>的服务，在甲方认可的正式</w:t>
      </w:r>
      <w:r>
        <w:rPr>
          <w:rFonts w:hint="eastAsia" w:hAnsi="宋体"/>
          <w:u w:val="single"/>
          <w:lang w:eastAsia="zh-CN"/>
        </w:rPr>
        <w:t xml:space="preserve"> </w:t>
      </w:r>
      <w:r>
        <w:rPr>
          <w:rFonts w:hint="eastAsia" w:hAnsi="宋体"/>
          <w:snapToGrid w:val="0"/>
          <w:color w:val="auto"/>
          <w:u w:val="single"/>
          <w:lang w:val="en-US" w:eastAsia="zh-CN"/>
        </w:rPr>
        <w:t xml:space="preserve">         </w:t>
      </w:r>
      <w:r>
        <w:rPr>
          <w:rFonts w:hAnsi="宋体"/>
          <w:lang w:eastAsia="zh-CN"/>
        </w:rPr>
        <w:t>报告</w:t>
      </w:r>
      <w:r>
        <w:rPr>
          <w:rFonts w:hint="eastAsia" w:hAnsi="宋体"/>
          <w:lang w:eastAsia="zh-CN"/>
        </w:rPr>
        <w:t>经政府有</w:t>
      </w:r>
      <w:r>
        <w:rPr>
          <w:rFonts w:hint="eastAsia" w:hAnsi="宋体"/>
          <w:lang w:val="en-US" w:eastAsia="zh-CN"/>
        </w:rPr>
        <w:t>关</w:t>
      </w:r>
      <w:r>
        <w:rPr>
          <w:rFonts w:hint="eastAsia" w:hAnsi="宋体"/>
          <w:lang w:eastAsia="zh-CN"/>
        </w:rPr>
        <w:t>部门或专家审批通过且提供正式稿后</w:t>
      </w:r>
      <w:r>
        <w:rPr>
          <w:rFonts w:hint="eastAsia" w:hAnsi="宋体"/>
          <w:u w:val="single"/>
          <w:lang w:eastAsia="zh-CN"/>
        </w:rPr>
        <w:t xml:space="preserve"> </w:t>
      </w:r>
      <w:r>
        <w:rPr>
          <w:rFonts w:hint="eastAsia" w:hAnsi="宋体"/>
          <w:u w:val="single"/>
          <w:lang w:val="en-US" w:eastAsia="zh-CN"/>
        </w:rPr>
        <w:t>60</w:t>
      </w:r>
      <w:r>
        <w:rPr>
          <w:rFonts w:hint="eastAsia" w:hAnsi="宋体"/>
          <w:lang w:eastAsia="zh-CN"/>
        </w:rPr>
        <w:t>日内，甲方支付</w:t>
      </w:r>
      <w:r>
        <w:rPr>
          <w:rFonts w:hint="eastAsia" w:hAnsi="宋体"/>
          <w:lang w:val="en-US" w:eastAsia="zh-CN"/>
        </w:rPr>
        <w:t>全额合同款</w:t>
      </w:r>
      <w:r>
        <w:rPr>
          <w:rFonts w:hint="eastAsia" w:hAnsi="宋体"/>
          <w:lang w:eastAsia="zh-CN"/>
        </w:rPr>
        <w:t>，即人民币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25"/>
        <w:spacing w:line="400" w:lineRule="exact"/>
        <w:ind w:firstLine="330" w:firstLineChars="150"/>
        <w:rPr>
          <w:rFonts w:hAnsi="宋体"/>
          <w:lang w:eastAsia="zh-CN"/>
        </w:rPr>
      </w:pPr>
      <w:r>
        <w:rPr>
          <w:rFonts w:hint="eastAsia" w:hAnsi="宋体"/>
          <w:lang w:eastAsia="zh-CN"/>
        </w:rPr>
        <w:t>（</w:t>
      </w:r>
      <w:r>
        <w:rPr>
          <w:rFonts w:hint="eastAsia" w:hAnsi="宋体"/>
          <w:lang w:val="en-US" w:eastAsia="zh-CN"/>
        </w:rPr>
        <w:t>2</w:t>
      </w:r>
      <w:r>
        <w:rPr>
          <w:rFonts w:hint="eastAsia" w:hAnsi="宋体"/>
          <w:lang w:eastAsia="zh-CN"/>
        </w:rPr>
        <w:t>）乙方应在甲方付款期限届满</w:t>
      </w:r>
      <w:r>
        <w:rPr>
          <w:rFonts w:hint="eastAsia" w:hAnsi="宋体"/>
          <w:u w:val="single"/>
          <w:lang w:val="en-US" w:eastAsia="zh-CN"/>
        </w:rPr>
        <w:t>60</w:t>
      </w:r>
      <w:r>
        <w:rPr>
          <w:rFonts w:hint="eastAsia" w:hAnsi="宋体"/>
          <w:lang w:eastAsia="zh-CN"/>
        </w:rPr>
        <w:t>日前提供增值税专用发票，否则甲方有权顺延付款。上述技术服务及咨询报酬直接支付至乙方指定的下列账号：</w:t>
      </w:r>
    </w:p>
    <w:p>
      <w:pPr>
        <w:pStyle w:val="25"/>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400" w:lineRule="exact"/>
        <w:ind w:firstLine="440" w:firstLineChars="200"/>
        <w:rPr>
          <w:rFonts w:hAnsi="宋体"/>
          <w:lang w:eastAsia="zh-CN"/>
        </w:rPr>
      </w:pPr>
      <w:r>
        <w:rPr>
          <w:rFonts w:hint="eastAsia" w:hAnsi="宋体"/>
          <w:lang w:eastAsia="zh-CN"/>
        </w:rPr>
        <w:t>甲方：</w:t>
      </w:r>
    </w:p>
    <w:p>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25"/>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乙方：</w:t>
      </w:r>
    </w:p>
    <w:p>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int="default" w:hAnsi="宋体"/>
          <w:lang w:val="en-US" w:eastAsia="zh-CN"/>
        </w:rPr>
      </w:pPr>
      <w:r>
        <w:rPr>
          <w:rFonts w:hint="eastAsia" w:hAnsi="宋体"/>
          <w:lang w:eastAsia="zh-CN"/>
        </w:rPr>
        <w:t>1、乙方提交技术工作成果的形式：</w:t>
      </w:r>
      <w:r>
        <w:rPr>
          <w:rFonts w:hint="eastAsia" w:hAnsi="宋体"/>
          <w:u w:val="single"/>
          <w:lang w:val="en-US" w:eastAsia="zh-CN"/>
        </w:rPr>
        <w:t xml:space="preserve">      </w:t>
      </w:r>
    </w:p>
    <w:p>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u w:val="single"/>
          <w:lang w:eastAsia="zh-CN"/>
        </w:rPr>
        <w:t xml:space="preserve">  审批</w:t>
      </w:r>
      <w:r>
        <w:rPr>
          <w:rFonts w:hAnsi="宋体"/>
          <w:u w:val="single"/>
          <w:lang w:eastAsia="zh-CN"/>
        </w:rPr>
        <w:t>通过。</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游坤宾、</w:t>
      </w:r>
      <w:r>
        <w:rPr>
          <w:rFonts w:hint="eastAsia" w:hAnsi="宋体"/>
          <w:u w:val="single"/>
          <w:lang w:val="en-US" w:eastAsia="zh-CN"/>
        </w:rPr>
        <w:t>李武为</w:t>
      </w:r>
      <w:r>
        <w:rPr>
          <w:rFonts w:hint="eastAsia" w:hAnsi="宋体"/>
          <w:u w:val="single"/>
          <w:lang w:eastAsia="zh-CN"/>
        </w:rPr>
        <w:t xml:space="preserve"> </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82"/>
          <w:color w:val="000000"/>
          <w:lang w:eastAsia="zh-CN"/>
        </w:rPr>
      </w:pPr>
      <w:r>
        <w:rPr>
          <w:rStyle w:val="82"/>
          <w:rFonts w:hint="eastAsia"/>
          <w:color w:val="000000"/>
          <w:lang w:eastAsia="zh-CN"/>
        </w:rPr>
        <w:t>1．乙方逾期提交服务咨询报告的，每日应向甲方支付违约金人民币</w:t>
      </w:r>
      <w:r>
        <w:rPr>
          <w:rFonts w:hint="eastAsia"/>
          <w:szCs w:val="21"/>
          <w:u w:val="single"/>
          <w:lang w:eastAsia="zh-CN"/>
        </w:rPr>
        <w:t xml:space="preserve"> </w:t>
      </w:r>
      <w:r>
        <w:rPr>
          <w:szCs w:val="21"/>
          <w:u w:val="single"/>
          <w:lang w:eastAsia="zh-CN"/>
        </w:rPr>
        <w:t>500</w:t>
      </w:r>
      <w:r>
        <w:rPr>
          <w:rStyle w:val="82"/>
          <w:rFonts w:hint="eastAsia"/>
          <w:color w:val="000000"/>
          <w:lang w:eastAsia="zh-CN"/>
        </w:rPr>
        <w:t>元，逾期超过</w:t>
      </w:r>
      <w:r>
        <w:rPr>
          <w:rFonts w:hint="eastAsia"/>
          <w:szCs w:val="21"/>
          <w:u w:val="single"/>
          <w:lang w:eastAsia="zh-CN"/>
        </w:rPr>
        <w:t xml:space="preserve"> </w:t>
      </w:r>
      <w:r>
        <w:rPr>
          <w:szCs w:val="21"/>
          <w:u w:val="single"/>
          <w:lang w:eastAsia="zh-CN"/>
        </w:rPr>
        <w:t xml:space="preserve">10 </w:t>
      </w:r>
      <w:r>
        <w:rPr>
          <w:rStyle w:val="82"/>
          <w:rFonts w:hint="eastAsia"/>
          <w:color w:val="000000"/>
          <w:lang w:eastAsia="zh-CN"/>
        </w:rPr>
        <w:t>日的，甲方还有权解除本合同并要求乙方退还已经收取的费用。</w:t>
      </w:r>
    </w:p>
    <w:p>
      <w:pPr>
        <w:pStyle w:val="25"/>
        <w:spacing w:line="400" w:lineRule="exact"/>
        <w:ind w:firstLine="440" w:firstLineChars="200"/>
        <w:rPr>
          <w:rStyle w:val="82"/>
          <w:color w:val="000000"/>
          <w:lang w:eastAsia="zh-CN"/>
        </w:rPr>
      </w:pPr>
      <w:r>
        <w:rPr>
          <w:rStyle w:val="82"/>
          <w:rFonts w:hint="eastAsia"/>
          <w:color w:val="000000"/>
          <w:lang w:eastAsia="zh-CN"/>
        </w:rPr>
        <w:t>2．乙方提交的服务咨询报告不符合合同约定的，应在甲方指定期限内修改完善直至符合合同约定为止，由此造成逾期提交的，按照第1款约定执行。</w:t>
      </w:r>
    </w:p>
    <w:p>
      <w:pPr>
        <w:pStyle w:val="25"/>
        <w:spacing w:line="400" w:lineRule="exact"/>
        <w:ind w:firstLine="440" w:firstLineChars="200"/>
        <w:rPr>
          <w:rFonts w:hAnsi="宋体"/>
          <w:lang w:eastAsia="zh-CN"/>
        </w:rPr>
      </w:pPr>
      <w:r>
        <w:rPr>
          <w:rStyle w:val="82"/>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 </w:t>
      </w:r>
      <w:r>
        <w:rPr>
          <w:rStyle w:val="82"/>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82"/>
          <w:color w:val="000000"/>
          <w:lang w:eastAsia="zh-CN"/>
        </w:rPr>
      </w:pPr>
      <w:r>
        <w:rPr>
          <w:rStyle w:val="82"/>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hAnsi="宋体"/>
          <w:lang w:eastAsia="zh-CN"/>
        </w:rPr>
        <w:t>第十二条 本合同经双方盖章后生效。本合同一式</w:t>
      </w:r>
      <w:r>
        <w:rPr>
          <w:rFonts w:hAnsi="宋体"/>
          <w:u w:val="single"/>
          <w:lang w:eastAsia="zh-CN"/>
        </w:rPr>
        <w:t>4</w:t>
      </w:r>
      <w:r>
        <w:rPr>
          <w:rFonts w:hint="eastAsia" w:hAnsi="宋体"/>
          <w:lang w:eastAsia="zh-CN"/>
        </w:rPr>
        <w:t>份，甲方执</w:t>
      </w:r>
      <w:r>
        <w:rPr>
          <w:rFonts w:hAnsi="宋体"/>
          <w:u w:val="single"/>
          <w:lang w:eastAsia="zh-CN"/>
        </w:rPr>
        <w:t>3</w:t>
      </w:r>
      <w:r>
        <w:rPr>
          <w:rFonts w:hint="eastAsia" w:hAnsi="宋体"/>
          <w:lang w:eastAsia="zh-CN"/>
        </w:rPr>
        <w:t>份，乙方执</w:t>
      </w:r>
      <w:r>
        <w:rPr>
          <w:rFonts w:hint="eastAsia" w:hAnsi="宋体"/>
          <w:u w:val="single"/>
          <w:lang w:eastAsia="zh-CN"/>
        </w:rPr>
        <w:t xml:space="preserve"> </w:t>
      </w:r>
      <w:r>
        <w:rPr>
          <w:rFonts w:hAnsi="宋体"/>
          <w:u w:val="single"/>
          <w:lang w:eastAsia="zh-CN"/>
        </w:rPr>
        <w:t xml:space="preserve">1 </w:t>
      </w:r>
      <w:r>
        <w:rPr>
          <w:rFonts w:hint="eastAsia" w:hAnsi="宋体"/>
          <w:lang w:eastAsia="zh-CN"/>
        </w:rPr>
        <w:t>份，具有同等法律效力。</w:t>
      </w:r>
    </w:p>
    <w:p>
      <w:pPr>
        <w:pStyle w:val="25"/>
        <w:spacing w:line="400" w:lineRule="exact"/>
        <w:rPr>
          <w:rFonts w:hAnsi="宋体"/>
          <w:lang w:eastAsia="zh-CN"/>
        </w:rPr>
      </w:pPr>
    </w:p>
    <w:p>
      <w:pPr>
        <w:pStyle w:val="25"/>
        <w:spacing w:line="400" w:lineRule="exact"/>
        <w:ind w:firstLine="440" w:firstLineChars="200"/>
        <w:rPr>
          <w:rFonts w:hAnsi="宋体"/>
        </w:rPr>
      </w:pPr>
      <w:r>
        <w:rPr>
          <w:rFonts w:hint="eastAsia" w:hAnsi="宋体"/>
        </w:rPr>
        <w:t>甲方（公章）:   　                             乙方：（公章）</w:t>
      </w:r>
    </w:p>
    <w:p>
      <w:pPr>
        <w:pStyle w:val="25"/>
        <w:spacing w:line="400" w:lineRule="exact"/>
        <w:ind w:firstLine="440" w:firstLineChars="200"/>
        <w:rPr>
          <w:rFonts w:hAnsi="宋体"/>
        </w:rPr>
      </w:pPr>
      <w:r>
        <w:rPr>
          <w:rFonts w:hint="eastAsia" w:hAnsi="宋体"/>
        </w:rPr>
        <w:t xml:space="preserve">                           </w:t>
      </w:r>
    </w:p>
    <w:p>
      <w:pPr>
        <w:pStyle w:val="25"/>
        <w:spacing w:line="400" w:lineRule="exact"/>
        <w:rPr>
          <w:rFonts w:hAnsi="宋体"/>
          <w:lang w:eastAsia="zh-CN"/>
        </w:rPr>
      </w:pPr>
      <w:r>
        <w:rPr>
          <w:rFonts w:hint="eastAsia" w:hAnsi="宋体"/>
        </w:rPr>
        <w:t xml:space="preserve">   </w:t>
      </w:r>
      <w:r>
        <w:rPr>
          <w:rFonts w:hAnsi="宋体"/>
        </w:rPr>
        <w:t xml:space="preserve">   </w:t>
      </w:r>
      <w:r>
        <w:rPr>
          <w:rFonts w:hAnsi="宋体"/>
          <w:lang w:eastAsia="zh-CN"/>
        </w:rPr>
        <w:t>202</w:t>
      </w:r>
      <w:r>
        <w:rPr>
          <w:rFonts w:hint="eastAsia" w:hAnsi="宋体"/>
          <w:lang w:val="en-US" w:eastAsia="zh-CN"/>
        </w:rPr>
        <w:t>2</w:t>
      </w:r>
      <w:r>
        <w:rPr>
          <w:rFonts w:hAnsi="宋体"/>
          <w:lang w:eastAsia="zh-CN"/>
        </w:rPr>
        <w:t>年</w:t>
      </w:r>
      <w:r>
        <w:rPr>
          <w:rFonts w:hint="eastAsia" w:hAnsi="宋体"/>
          <w:lang w:val="en-US" w:eastAsia="zh-CN"/>
        </w:rPr>
        <w:t xml:space="preserve">  </w:t>
      </w:r>
      <w:r>
        <w:rPr>
          <w:rFonts w:hAnsi="宋体"/>
          <w:lang w:eastAsia="zh-CN"/>
        </w:rPr>
        <w:t>月      日</w:t>
      </w:r>
      <w:r>
        <w:rPr>
          <w:rFonts w:hint="eastAsia" w:hAnsi="宋体"/>
          <w:lang w:eastAsia="zh-CN"/>
        </w:rPr>
        <w:t xml:space="preserve">                          </w:t>
      </w:r>
      <w:r>
        <w:rPr>
          <w:rFonts w:hint="eastAsia" w:hAnsi="宋体"/>
          <w:lang w:val="en-US" w:eastAsia="zh-CN"/>
        </w:rPr>
        <w:t>2022</w:t>
      </w:r>
      <w:r>
        <w:rPr>
          <w:rFonts w:hAnsi="宋体"/>
          <w:lang w:eastAsia="zh-CN"/>
        </w:rPr>
        <w:t>年</w:t>
      </w:r>
      <w:r>
        <w:rPr>
          <w:rFonts w:hint="eastAsia" w:hAnsi="宋体"/>
          <w:lang w:val="en-US" w:eastAsia="zh-CN"/>
        </w:rPr>
        <w:t xml:space="preserve">   </w:t>
      </w:r>
      <w:r>
        <w:rPr>
          <w:rFonts w:hAnsi="宋体"/>
          <w:lang w:eastAsia="zh-CN"/>
        </w:rPr>
        <w:t>月      日</w:t>
      </w:r>
    </w:p>
    <w:p>
      <w:pPr>
        <w:tabs>
          <w:tab w:val="left" w:pos="420"/>
        </w:tabs>
        <w:rPr>
          <w:sz w:val="24"/>
          <w:szCs w:val="24"/>
          <w:lang w:eastAsia="zh-CN"/>
        </w:rPr>
      </w:pPr>
    </w:p>
    <w:p>
      <w:pPr>
        <w:pStyle w:val="2"/>
      </w:pPr>
    </w:p>
    <w:p>
      <w:pPr>
        <w:pStyle w:val="2"/>
      </w:pPr>
    </w:p>
    <w:p>
      <w:pPr>
        <w:spacing w:line="360" w:lineRule="auto"/>
        <w:rPr>
          <w:rFonts w:hint="eastAsia" w:asciiTheme="minorEastAsia" w:hAnsiTheme="minorEastAsia" w:eastAsiaTheme="minorEastAsia"/>
          <w:bCs/>
          <w:sz w:val="24"/>
          <w:szCs w:val="24"/>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福海创聚酯链团队加工贸易专项业务评估报告编制</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
          <w:bCs/>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平装。所有参选文件应增加统一外层包封。提交参选文件时提供两个包装，商务参选文件（报价单）一个包装、技术参选文件一个包装,封口处均需加盖骑缝章。</w:t>
      </w:r>
      <w:r>
        <w:rPr>
          <w:rFonts w:hint="eastAsia" w:cs="Times New Roman"/>
          <w:b/>
          <w:bCs/>
          <w:color w:val="C00000"/>
          <w:sz w:val="24"/>
          <w:szCs w:val="24"/>
          <w:lang w:eastAsia="zh-CN"/>
        </w:rPr>
        <w:t>商务参选文件和技术参选文件</w:t>
      </w:r>
      <w:r>
        <w:rPr>
          <w:rFonts w:hint="eastAsia" w:cs="Times New Roman"/>
          <w:b/>
          <w:bCs/>
          <w:color w:val="C00000"/>
          <w:sz w:val="24"/>
          <w:szCs w:val="24"/>
          <w:lang w:val="en-US" w:eastAsia="zh-CN"/>
        </w:rPr>
        <w:t>U盘</w:t>
      </w:r>
      <w:r>
        <w:rPr>
          <w:rFonts w:hint="eastAsia" w:cs="Times New Roman"/>
          <w:b/>
          <w:bCs/>
          <w:color w:val="C00000"/>
          <w:sz w:val="24"/>
          <w:szCs w:val="24"/>
          <w:lang w:eastAsia="zh-CN"/>
        </w:rPr>
        <w:t>电子</w:t>
      </w:r>
      <w:r>
        <w:rPr>
          <w:rFonts w:hint="eastAsia" w:cs="Times New Roman"/>
          <w:b/>
          <w:bCs/>
          <w:color w:val="C00000"/>
          <w:sz w:val="24"/>
          <w:szCs w:val="24"/>
          <w:lang w:val="en-US" w:eastAsia="zh-CN"/>
        </w:rPr>
        <w:t>扫描件</w:t>
      </w:r>
      <w:r>
        <w:rPr>
          <w:rFonts w:hint="eastAsia" w:cs="Times New Roman"/>
          <w:b/>
          <w:bCs/>
          <w:color w:val="C00000"/>
          <w:sz w:val="24"/>
          <w:szCs w:val="24"/>
          <w:lang w:eastAsia="zh-CN"/>
        </w:rPr>
        <w:t>拷贝一份（随商务参选文件包装）。</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618" w:firstLineChars="221"/>
        <w:rPr>
          <w:rFonts w:cs="Times New Roman"/>
          <w:bCs w:val="0"/>
          <w:color w:val="C00000"/>
          <w:lang w:eastAsia="zh-CN"/>
        </w:rPr>
      </w:pP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6"/>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2</w:t>
            </w:r>
          </w:p>
        </w:tc>
        <w:tc>
          <w:tcPr>
            <w:tcW w:w="6023" w:type="dxa"/>
            <w:vAlign w:val="top"/>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rPr>
              <w:t>资质</w:t>
            </w:r>
            <w:r>
              <w:rPr>
                <w:rFonts w:hint="eastAsia"/>
                <w:sz w:val="24"/>
                <w:lang w:eastAsia="zh-CN"/>
              </w:rPr>
              <w:t>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lang w:eastAsia="zh-CN"/>
              </w:rPr>
              <w:t>业绩证明文件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vAlign w:val="top"/>
          </w:tcPr>
          <w:p>
            <w:pPr>
              <w:spacing w:line="500" w:lineRule="exact"/>
              <w:rPr>
                <w:rFonts w:ascii="宋体" w:hAnsi="宋体" w:eastAsia="宋体" w:cs="宋体"/>
                <w:sz w:val="24"/>
                <w:szCs w:val="22"/>
                <w:lang w:val="en-US" w:eastAsia="zh-CN" w:bidi="ar-SA"/>
              </w:rPr>
            </w:pPr>
            <w:r>
              <w:rPr>
                <w:rFonts w:hint="eastAsia"/>
                <w:sz w:val="24"/>
                <w:lang w:eastAsia="zh-CN"/>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rFonts w:hint="eastAsia"/>
          <w:b/>
          <w:bCs/>
          <w:sz w:val="36"/>
          <w:szCs w:val="36"/>
        </w:rPr>
      </w:pPr>
      <w:r>
        <w:rPr>
          <w:rFonts w:hint="eastAsia"/>
          <w:b/>
          <w:bCs/>
          <w:sz w:val="36"/>
          <w:szCs w:val="36"/>
        </w:rPr>
        <w:t>参选书</w:t>
      </w:r>
    </w:p>
    <w:p>
      <w:pPr>
        <w:pStyle w:val="2"/>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法定代表人：</w:t>
      </w: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ind w:firstLine="420"/>
        <w:jc w:val="center"/>
        <w:rPr>
          <w:rFonts w:hint="eastAsia" w:ascii="Times New Roman" w:hAnsi="Times New Roman"/>
          <w:kern w:val="2"/>
          <w:sz w:val="24"/>
          <w:szCs w:val="24"/>
        </w:rPr>
      </w:pPr>
    </w:p>
    <w:p>
      <w:pPr>
        <w:pStyle w:val="2"/>
        <w:jc w:val="both"/>
      </w:pPr>
    </w:p>
    <w:p>
      <w:pPr>
        <w:pStyle w:val="2"/>
        <w:jc w:val="center"/>
        <w:rPr>
          <w:rFonts w:hint="eastAsia"/>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jc w:val="both"/>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pacing w:line="360" w:lineRule="auto"/>
        <w:jc w:val="both"/>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spacing w:line="360" w:lineRule="auto"/>
        <w:jc w:val="both"/>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承诺函</w:t>
      </w:r>
    </w:p>
    <w:p>
      <w:pPr>
        <w:spacing w:line="500" w:lineRule="exact"/>
        <w:rPr>
          <w:sz w:val="24"/>
          <w:lang w:eastAsia="zh-CN"/>
        </w:rPr>
      </w:pPr>
      <w:r>
        <w:rPr>
          <w:rFonts w:hint="eastAsia"/>
          <w:sz w:val="24"/>
          <w:lang w:eastAsia="zh-CN"/>
        </w:rPr>
        <w:t>致：福建福海创石油化工有限公司</w:t>
      </w:r>
    </w:p>
    <w:p>
      <w:pPr>
        <w:spacing w:before="38" w:line="480" w:lineRule="auto"/>
        <w:ind w:left="172" w:firstLine="480" w:firstLineChars="200"/>
        <w:rPr>
          <w:sz w:val="24"/>
          <w:lang w:eastAsia="zh-CN"/>
        </w:rPr>
      </w:pPr>
      <w:r>
        <w:rPr>
          <w:rFonts w:hint="eastAsia"/>
          <w:sz w:val="24"/>
          <w:lang w:eastAsia="zh-CN"/>
        </w:rPr>
        <w:t>我公司对贵司</w:t>
      </w:r>
      <w:r>
        <w:rPr>
          <w:rFonts w:hint="eastAsia"/>
          <w:b/>
          <w:u w:val="single"/>
          <w:lang w:eastAsia="zh-CN"/>
        </w:rPr>
        <w:t>福海创聚酯链团队加工贸易专项业务评估报告编制</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6"/>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int="eastAsia" w:hAnsi="宋体" w:cs="宋体"/>
          <w:kern w:val="2"/>
          <w:sz w:val="24"/>
          <w:szCs w:val="24"/>
        </w:rPr>
      </w:pP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pStyle w:val="2"/>
      </w:pPr>
    </w:p>
    <w:p>
      <w:pPr>
        <w:spacing w:line="360" w:lineRule="auto"/>
        <w:jc w:val="center"/>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rPr>
          <w:rFonts w:hint="eastAsia"/>
        </w:rPr>
      </w:pPr>
    </w:p>
    <w:p>
      <w:pPr>
        <w:pStyle w:val="2"/>
      </w:pPr>
    </w:p>
    <w:p>
      <w:pPr>
        <w:pStyle w:val="2"/>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福海创聚酯链团队加工贸易专项业务评估报告编制</w:t>
      </w:r>
      <w:r>
        <w:rPr>
          <w:rFonts w:hint="eastAsia" w:ascii="Times New Roman" w:hAnsi="ˎ̥"/>
          <w:sz w:val="28"/>
          <w:szCs w:val="28"/>
          <w:lang w:eastAsia="zh-CN"/>
        </w:rPr>
        <w:t>比选文件的全部内容后，我方愿以以下报价，严格按照自主比选文件的要求，交付本项目并维修其中的任何缺陷。</w:t>
      </w:r>
    </w:p>
    <w:tbl>
      <w:tblPr>
        <w:tblStyle w:val="46"/>
        <w:tblW w:w="9420" w:type="dxa"/>
        <w:tblInd w:w="-318" w:type="dxa"/>
        <w:tblLayout w:type="autofit"/>
        <w:tblCellMar>
          <w:top w:w="0" w:type="dxa"/>
          <w:left w:w="108" w:type="dxa"/>
          <w:bottom w:w="0" w:type="dxa"/>
          <w:right w:w="108" w:type="dxa"/>
        </w:tblCellMar>
      </w:tblPr>
      <w:tblGrid>
        <w:gridCol w:w="9420"/>
      </w:tblGrid>
      <w:tr>
        <w:tblPrEx>
          <w:tblCellMar>
            <w:top w:w="0" w:type="dxa"/>
            <w:left w:w="108" w:type="dxa"/>
            <w:bottom w:w="0" w:type="dxa"/>
            <w:right w:w="108" w:type="dxa"/>
          </w:tblCellMar>
        </w:tblPrEx>
        <w:trPr>
          <w:trHeight w:val="2617" w:hRule="atLeast"/>
        </w:trPr>
        <w:tc>
          <w:tcPr>
            <w:tcW w:w="9420"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rFonts w:hint="default" w:eastAsia="宋体"/>
                <w:lang w:val="en-US" w:eastAsia="zh-CN"/>
              </w:rPr>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pStyle w:val="2"/>
        <w:rPr>
          <w:rFonts w:hint="default"/>
          <w:color w:val="00B050"/>
          <w:sz w:val="28"/>
          <w:u w:val="single"/>
          <w:lang w:val="en-US" w:eastAsia="zh-CN"/>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lang w:val="en-US" w:eastAsia="zh-CN" w:bidi="ar-SA"/>
        </w:rPr>
        <w:t xml:space="preserve"> </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45</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03D7"/>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5BFA"/>
    <w:rsid w:val="00101100"/>
    <w:rsid w:val="0011079D"/>
    <w:rsid w:val="00110C95"/>
    <w:rsid w:val="00111D19"/>
    <w:rsid w:val="001150C5"/>
    <w:rsid w:val="001160FE"/>
    <w:rsid w:val="00122E24"/>
    <w:rsid w:val="00126562"/>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962E1"/>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46A0"/>
    <w:rsid w:val="00227556"/>
    <w:rsid w:val="002305DA"/>
    <w:rsid w:val="002318C1"/>
    <w:rsid w:val="00233571"/>
    <w:rsid w:val="002336A1"/>
    <w:rsid w:val="00241E6B"/>
    <w:rsid w:val="00242301"/>
    <w:rsid w:val="002427A9"/>
    <w:rsid w:val="002431E7"/>
    <w:rsid w:val="002451B2"/>
    <w:rsid w:val="0024625A"/>
    <w:rsid w:val="0025434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0B60"/>
    <w:rsid w:val="002F34BA"/>
    <w:rsid w:val="002F755A"/>
    <w:rsid w:val="003024EF"/>
    <w:rsid w:val="003053B9"/>
    <w:rsid w:val="003102D1"/>
    <w:rsid w:val="003221F4"/>
    <w:rsid w:val="00322502"/>
    <w:rsid w:val="00322549"/>
    <w:rsid w:val="00331810"/>
    <w:rsid w:val="0033277A"/>
    <w:rsid w:val="003344D9"/>
    <w:rsid w:val="003355C7"/>
    <w:rsid w:val="00342B24"/>
    <w:rsid w:val="003456D2"/>
    <w:rsid w:val="00347C37"/>
    <w:rsid w:val="00350463"/>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35B8"/>
    <w:rsid w:val="004A46AD"/>
    <w:rsid w:val="004A498D"/>
    <w:rsid w:val="004C16AE"/>
    <w:rsid w:val="004C4B54"/>
    <w:rsid w:val="004D6A19"/>
    <w:rsid w:val="00500D74"/>
    <w:rsid w:val="00505560"/>
    <w:rsid w:val="00513D5D"/>
    <w:rsid w:val="00514908"/>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6CBF"/>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F6B"/>
    <w:rsid w:val="0070006F"/>
    <w:rsid w:val="007000E2"/>
    <w:rsid w:val="007012E4"/>
    <w:rsid w:val="00701816"/>
    <w:rsid w:val="00701DE6"/>
    <w:rsid w:val="0070392A"/>
    <w:rsid w:val="007072CB"/>
    <w:rsid w:val="0071080A"/>
    <w:rsid w:val="00711047"/>
    <w:rsid w:val="00714008"/>
    <w:rsid w:val="00714DA2"/>
    <w:rsid w:val="0071545F"/>
    <w:rsid w:val="007207BD"/>
    <w:rsid w:val="007279F5"/>
    <w:rsid w:val="00732878"/>
    <w:rsid w:val="00733A20"/>
    <w:rsid w:val="0073742A"/>
    <w:rsid w:val="00737520"/>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3BA3"/>
    <w:rsid w:val="00804A52"/>
    <w:rsid w:val="00804C93"/>
    <w:rsid w:val="00811DBA"/>
    <w:rsid w:val="00820CFB"/>
    <w:rsid w:val="00824F13"/>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136D"/>
    <w:rsid w:val="008B4179"/>
    <w:rsid w:val="008C03C3"/>
    <w:rsid w:val="008C42CE"/>
    <w:rsid w:val="008E1769"/>
    <w:rsid w:val="008E1F3F"/>
    <w:rsid w:val="008E2155"/>
    <w:rsid w:val="008E5198"/>
    <w:rsid w:val="008F3559"/>
    <w:rsid w:val="009032FB"/>
    <w:rsid w:val="00910C1A"/>
    <w:rsid w:val="0091588F"/>
    <w:rsid w:val="009171AF"/>
    <w:rsid w:val="00917368"/>
    <w:rsid w:val="009235B3"/>
    <w:rsid w:val="00930487"/>
    <w:rsid w:val="009312CA"/>
    <w:rsid w:val="009353D9"/>
    <w:rsid w:val="00937414"/>
    <w:rsid w:val="00951ECF"/>
    <w:rsid w:val="00952F8D"/>
    <w:rsid w:val="00955A6F"/>
    <w:rsid w:val="00964F96"/>
    <w:rsid w:val="009663D1"/>
    <w:rsid w:val="00967702"/>
    <w:rsid w:val="00971BD1"/>
    <w:rsid w:val="00974883"/>
    <w:rsid w:val="00975EAC"/>
    <w:rsid w:val="009862F4"/>
    <w:rsid w:val="009873FF"/>
    <w:rsid w:val="009928C9"/>
    <w:rsid w:val="00992DC8"/>
    <w:rsid w:val="00995F84"/>
    <w:rsid w:val="0099730F"/>
    <w:rsid w:val="009A5EA2"/>
    <w:rsid w:val="009A6FD0"/>
    <w:rsid w:val="009B054A"/>
    <w:rsid w:val="009B1738"/>
    <w:rsid w:val="009B2DE5"/>
    <w:rsid w:val="009B34B8"/>
    <w:rsid w:val="009D49AE"/>
    <w:rsid w:val="009D501D"/>
    <w:rsid w:val="009D7449"/>
    <w:rsid w:val="009E1058"/>
    <w:rsid w:val="009E3F3D"/>
    <w:rsid w:val="009E7B54"/>
    <w:rsid w:val="009F0778"/>
    <w:rsid w:val="009F6299"/>
    <w:rsid w:val="00A02FDB"/>
    <w:rsid w:val="00A149E5"/>
    <w:rsid w:val="00A153FC"/>
    <w:rsid w:val="00A2542D"/>
    <w:rsid w:val="00A278D7"/>
    <w:rsid w:val="00A33603"/>
    <w:rsid w:val="00A367C8"/>
    <w:rsid w:val="00A37693"/>
    <w:rsid w:val="00A45F18"/>
    <w:rsid w:val="00A614C8"/>
    <w:rsid w:val="00A62247"/>
    <w:rsid w:val="00A6610B"/>
    <w:rsid w:val="00A70480"/>
    <w:rsid w:val="00A70883"/>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A3B"/>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7972"/>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57D00"/>
    <w:rsid w:val="00D60D83"/>
    <w:rsid w:val="00D627B1"/>
    <w:rsid w:val="00D62BDB"/>
    <w:rsid w:val="00D64110"/>
    <w:rsid w:val="00D64BE9"/>
    <w:rsid w:val="00D67F61"/>
    <w:rsid w:val="00D70AEA"/>
    <w:rsid w:val="00D70F88"/>
    <w:rsid w:val="00D728BD"/>
    <w:rsid w:val="00D73AB3"/>
    <w:rsid w:val="00D73C0E"/>
    <w:rsid w:val="00D749CB"/>
    <w:rsid w:val="00D84B38"/>
    <w:rsid w:val="00D86664"/>
    <w:rsid w:val="00D87834"/>
    <w:rsid w:val="00D913F7"/>
    <w:rsid w:val="00D92871"/>
    <w:rsid w:val="00D947D8"/>
    <w:rsid w:val="00D957A8"/>
    <w:rsid w:val="00D96DE6"/>
    <w:rsid w:val="00D9778F"/>
    <w:rsid w:val="00DA5752"/>
    <w:rsid w:val="00DA7F1E"/>
    <w:rsid w:val="00DB5C28"/>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A27"/>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AC9"/>
    <w:rsid w:val="00FB0C70"/>
    <w:rsid w:val="00FB7A38"/>
    <w:rsid w:val="00FC6A22"/>
    <w:rsid w:val="00FD0D54"/>
    <w:rsid w:val="00FD1B14"/>
    <w:rsid w:val="00FD1DC9"/>
    <w:rsid w:val="00FD29D5"/>
    <w:rsid w:val="00FE65F9"/>
    <w:rsid w:val="00FF49E8"/>
    <w:rsid w:val="00FF5F83"/>
    <w:rsid w:val="0367315B"/>
    <w:rsid w:val="061139E5"/>
    <w:rsid w:val="06127FF7"/>
    <w:rsid w:val="06F50B00"/>
    <w:rsid w:val="076E1278"/>
    <w:rsid w:val="08A05B30"/>
    <w:rsid w:val="08D1141D"/>
    <w:rsid w:val="0B296DE2"/>
    <w:rsid w:val="0C475AB1"/>
    <w:rsid w:val="0CB51289"/>
    <w:rsid w:val="10294AA3"/>
    <w:rsid w:val="10E40CA0"/>
    <w:rsid w:val="11680A8B"/>
    <w:rsid w:val="119A4581"/>
    <w:rsid w:val="136130D9"/>
    <w:rsid w:val="13B42A0E"/>
    <w:rsid w:val="18DD4F7E"/>
    <w:rsid w:val="195B58A2"/>
    <w:rsid w:val="1C8F59DA"/>
    <w:rsid w:val="1DBF52A2"/>
    <w:rsid w:val="1E085A14"/>
    <w:rsid w:val="1FF43DDB"/>
    <w:rsid w:val="203B5310"/>
    <w:rsid w:val="21076C77"/>
    <w:rsid w:val="21933AA2"/>
    <w:rsid w:val="236819DA"/>
    <w:rsid w:val="25BF356F"/>
    <w:rsid w:val="25DB0C2D"/>
    <w:rsid w:val="269469E7"/>
    <w:rsid w:val="29FC3B14"/>
    <w:rsid w:val="2A40203E"/>
    <w:rsid w:val="2B11792E"/>
    <w:rsid w:val="2CE239E9"/>
    <w:rsid w:val="31C54755"/>
    <w:rsid w:val="3216608C"/>
    <w:rsid w:val="34CE14C6"/>
    <w:rsid w:val="34D84CEC"/>
    <w:rsid w:val="37AF5AB7"/>
    <w:rsid w:val="3B1C3371"/>
    <w:rsid w:val="3B2530F2"/>
    <w:rsid w:val="3CC23198"/>
    <w:rsid w:val="3DDF4815"/>
    <w:rsid w:val="3FE669E5"/>
    <w:rsid w:val="40B35791"/>
    <w:rsid w:val="44A24B42"/>
    <w:rsid w:val="47743C87"/>
    <w:rsid w:val="4E9D1A64"/>
    <w:rsid w:val="4F23333C"/>
    <w:rsid w:val="507B07EA"/>
    <w:rsid w:val="50F63E28"/>
    <w:rsid w:val="5221007F"/>
    <w:rsid w:val="52926B5A"/>
    <w:rsid w:val="545C5E51"/>
    <w:rsid w:val="5486175B"/>
    <w:rsid w:val="560230DE"/>
    <w:rsid w:val="57667D24"/>
    <w:rsid w:val="57CE5BC3"/>
    <w:rsid w:val="591F1287"/>
    <w:rsid w:val="5AE1516A"/>
    <w:rsid w:val="5B6A3A79"/>
    <w:rsid w:val="5C1A5F7B"/>
    <w:rsid w:val="5EA46811"/>
    <w:rsid w:val="5F71112C"/>
    <w:rsid w:val="645771F8"/>
    <w:rsid w:val="65BC0B5C"/>
    <w:rsid w:val="66485FAD"/>
    <w:rsid w:val="682F160A"/>
    <w:rsid w:val="68625453"/>
    <w:rsid w:val="68852D30"/>
    <w:rsid w:val="6A54112D"/>
    <w:rsid w:val="6AA035AE"/>
    <w:rsid w:val="6B327194"/>
    <w:rsid w:val="6D8463C5"/>
    <w:rsid w:val="6E0F2E14"/>
    <w:rsid w:val="6F1E141D"/>
    <w:rsid w:val="6F3F175A"/>
    <w:rsid w:val="6F5354F8"/>
    <w:rsid w:val="740A2BDE"/>
    <w:rsid w:val="751839E0"/>
    <w:rsid w:val="76274F93"/>
    <w:rsid w:val="77414869"/>
    <w:rsid w:val="79EB3F2F"/>
    <w:rsid w:val="7B06597C"/>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none"/>
    </w:rPr>
  </w:style>
  <w:style w:type="character" w:styleId="52">
    <w:name w:val="Emphasis"/>
    <w:basedOn w:val="48"/>
    <w:qFormat/>
    <w:uiPriority w:val="0"/>
  </w:style>
  <w:style w:type="character" w:styleId="53">
    <w:name w:val="HTML Definition"/>
    <w:basedOn w:val="48"/>
    <w:semiHidden/>
    <w:unhideWhenUsed/>
    <w:qFormat/>
    <w:uiPriority w:val="0"/>
  </w:style>
  <w:style w:type="character" w:styleId="54">
    <w:name w:val="HTML Variable"/>
    <w:basedOn w:val="48"/>
    <w:semiHidden/>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semiHidden/>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semiHidden/>
    <w:unhideWhenUsed/>
    <w:qFormat/>
    <w:uiPriority w:val="0"/>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1"/>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0"/>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08"/>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0"/>
    <w:rPr>
      <w:rFonts w:ascii="Calibri" w:hAnsi="Calibri"/>
      <w:sz w:val="22"/>
      <w:szCs w:val="22"/>
    </w:rPr>
  </w:style>
  <w:style w:type="paragraph" w:styleId="84">
    <w:name w:val="No Spacing"/>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0"/>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0"/>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character" w:customStyle="1" w:styleId="208">
    <w:name w:val="列出段落 Char"/>
    <w:link w:val="74"/>
    <w:qFormat/>
    <w:uiPriority w:val="34"/>
    <w:rPr>
      <w:rFonts w:ascii="宋体" w:hAnsi="宋体" w:cs="宋体"/>
      <w:sz w:val="22"/>
      <w:szCs w:val="22"/>
      <w:lang w:eastAsia="en-US"/>
    </w:rPr>
  </w:style>
  <w:style w:type="character" w:customStyle="1" w:styleId="209">
    <w:name w:val="ico1654"/>
    <w:basedOn w:val="48"/>
    <w:uiPriority w:val="0"/>
  </w:style>
  <w:style w:type="character" w:customStyle="1" w:styleId="210">
    <w:name w:val="associateddata"/>
    <w:basedOn w:val="48"/>
    <w:uiPriority w:val="0"/>
    <w:rPr>
      <w:shd w:val="clear" w:fill="50A6F9"/>
    </w:rPr>
  </w:style>
  <w:style w:type="character" w:customStyle="1" w:styleId="211">
    <w:name w:val="drapbtn"/>
    <w:basedOn w:val="48"/>
    <w:uiPriority w:val="0"/>
  </w:style>
  <w:style w:type="character" w:customStyle="1" w:styleId="212">
    <w:name w:val="cy"/>
    <w:basedOn w:val="48"/>
    <w:uiPriority w:val="0"/>
  </w:style>
  <w:style w:type="character" w:customStyle="1" w:styleId="213">
    <w:name w:val="layui-layer-tabnow"/>
    <w:basedOn w:val="48"/>
    <w:uiPriority w:val="0"/>
    <w:rPr>
      <w:bdr w:val="single" w:color="CCCCCC" w:sz="6" w:space="0"/>
      <w:shd w:val="clear" w:fill="FFFFFF"/>
    </w:rPr>
  </w:style>
  <w:style w:type="character" w:customStyle="1" w:styleId="214">
    <w:name w:val="pagechatarealistclose_box"/>
    <w:basedOn w:val="48"/>
    <w:uiPriority w:val="0"/>
  </w:style>
  <w:style w:type="character" w:customStyle="1" w:styleId="215">
    <w:name w:val="pagechatarealistclose_box1"/>
    <w:basedOn w:val="48"/>
    <w:uiPriority w:val="0"/>
  </w:style>
  <w:style w:type="character" w:customStyle="1" w:styleId="216">
    <w:name w:val="active"/>
    <w:basedOn w:val="48"/>
    <w:uiPriority w:val="0"/>
    <w:rPr>
      <w:color w:val="00FF00"/>
      <w:shd w:val="clear" w:fill="111111"/>
    </w:rPr>
  </w:style>
  <w:style w:type="character" w:customStyle="1" w:styleId="217">
    <w:name w:val="active1"/>
    <w:basedOn w:val="48"/>
    <w:uiPriority w:val="0"/>
    <w:rPr>
      <w:shd w:val="clear" w:fill="EC3535"/>
    </w:rPr>
  </w:style>
  <w:style w:type="character" w:customStyle="1" w:styleId="218">
    <w:name w:val="icontext1"/>
    <w:basedOn w:val="48"/>
    <w:uiPriority w:val="0"/>
  </w:style>
  <w:style w:type="character" w:customStyle="1" w:styleId="219">
    <w:name w:val="icontext11"/>
    <w:basedOn w:val="48"/>
    <w:uiPriority w:val="0"/>
  </w:style>
  <w:style w:type="character" w:customStyle="1" w:styleId="220">
    <w:name w:val="icontext3"/>
    <w:basedOn w:val="48"/>
    <w:uiPriority w:val="0"/>
  </w:style>
  <w:style w:type="character" w:customStyle="1" w:styleId="221">
    <w:name w:val="cdropright"/>
    <w:basedOn w:val="48"/>
    <w:uiPriority w:val="0"/>
  </w:style>
  <w:style w:type="character" w:customStyle="1" w:styleId="222">
    <w:name w:val="w32"/>
    <w:basedOn w:val="48"/>
    <w:uiPriority w:val="0"/>
  </w:style>
  <w:style w:type="character" w:customStyle="1" w:styleId="223">
    <w:name w:val="hover39"/>
    <w:basedOn w:val="48"/>
    <w:uiPriority w:val="0"/>
    <w:rPr>
      <w:color w:val="FFFFFF"/>
    </w:rPr>
  </w:style>
  <w:style w:type="character" w:customStyle="1" w:styleId="224">
    <w:name w:val="button4"/>
    <w:basedOn w:val="48"/>
    <w:uiPriority w:val="0"/>
  </w:style>
  <w:style w:type="character" w:customStyle="1" w:styleId="225">
    <w:name w:val="first-child"/>
    <w:basedOn w:val="48"/>
    <w:uiPriority w:val="0"/>
  </w:style>
  <w:style w:type="character" w:customStyle="1" w:styleId="226">
    <w:name w:val="iconline2"/>
    <w:basedOn w:val="48"/>
    <w:uiPriority w:val="0"/>
  </w:style>
  <w:style w:type="character" w:customStyle="1" w:styleId="227">
    <w:name w:val="iconline21"/>
    <w:basedOn w:val="48"/>
    <w:uiPriority w:val="0"/>
  </w:style>
  <w:style w:type="character" w:customStyle="1" w:styleId="228">
    <w:name w:val="xdrichtextbox4"/>
    <w:basedOn w:val="48"/>
    <w:uiPriority w:val="0"/>
  </w:style>
  <w:style w:type="character" w:customStyle="1" w:styleId="229">
    <w:name w:val="hilite"/>
    <w:basedOn w:val="48"/>
    <w:uiPriority w:val="0"/>
    <w:rPr>
      <w:color w:val="FFFFFF"/>
      <w:shd w:val="clear" w:fill="666666"/>
    </w:rPr>
  </w:style>
  <w:style w:type="character" w:customStyle="1" w:styleId="230">
    <w:name w:val="choosename"/>
    <w:basedOn w:val="48"/>
    <w:uiPriority w:val="0"/>
  </w:style>
  <w:style w:type="character" w:customStyle="1" w:styleId="231">
    <w:name w:val="after"/>
    <w:basedOn w:val="48"/>
    <w:uiPriority w:val="0"/>
    <w:rPr>
      <w:sz w:val="0"/>
      <w:szCs w:val="0"/>
    </w:rPr>
  </w:style>
  <w:style w:type="character" w:customStyle="1" w:styleId="232">
    <w:name w:val="icontext2"/>
    <w:basedOn w:val="48"/>
    <w:uiPriority w:val="0"/>
  </w:style>
  <w:style w:type="character" w:customStyle="1" w:styleId="233">
    <w:name w:val="tmpztreemove_arrow"/>
    <w:basedOn w:val="48"/>
    <w:uiPriority w:val="0"/>
  </w:style>
  <w:style w:type="character" w:customStyle="1" w:styleId="234">
    <w:name w:val="cdropleft"/>
    <w:basedOn w:val="48"/>
    <w:uiPriority w:val="0"/>
  </w:style>
  <w:style w:type="character" w:customStyle="1" w:styleId="235">
    <w:name w:val="design_class"/>
    <w:basedOn w:val="48"/>
    <w:qFormat/>
    <w:uiPriority w:val="0"/>
  </w:style>
  <w:style w:type="character" w:customStyle="1" w:styleId="236">
    <w:name w:val="edit_class"/>
    <w:basedOn w:val="48"/>
    <w:qFormat/>
    <w:uiPriority w:val="0"/>
  </w:style>
  <w:style w:type="character" w:customStyle="1" w:styleId="237">
    <w:name w:val="biggerthanmax"/>
    <w:basedOn w:val="48"/>
    <w:uiPriority w:val="0"/>
    <w:rPr>
      <w:shd w:val="clear" w:fill="FFFF00"/>
    </w:rPr>
  </w:style>
  <w:style w:type="paragraph" w:customStyle="1" w:styleId="238">
    <w:name w:val="金皇-正文"/>
    <w:basedOn w:val="1"/>
    <w:qFormat/>
    <w:uiPriority w:val="0"/>
    <w:pPr>
      <w:spacing w:line="360" w:lineRule="auto"/>
      <w:ind w:firstLine="200" w:firstLineChars="200"/>
    </w:pPr>
    <w:rPr>
      <w:sz w:val="24"/>
    </w:rPr>
  </w:style>
  <w:style w:type="paragraph" w:customStyle="1" w:styleId="239">
    <w:name w:val="c1"/>
    <w:qFormat/>
    <w:uiPriority w:val="0"/>
    <w:pPr>
      <w:widowControl w:val="0"/>
      <w:adjustRightInd w:val="0"/>
      <w:snapToGrid w:val="0"/>
      <w:spacing w:line="360" w:lineRule="auto"/>
      <w:ind w:firstLine="200" w:firstLineChars="200"/>
    </w:pPr>
    <w:rPr>
      <w:rFonts w:ascii="Times New Roman" w:hAnsi="Times New Roman" w:eastAsia="仿宋_GB2312" w:cs="Times New Roman"/>
      <w:kern w:val="2"/>
      <w:sz w:val="28"/>
      <w:szCs w:val="20"/>
      <w:lang w:val="en-US" w:eastAsia="zh-CN" w:bidi="ar-SA"/>
    </w:rPr>
  </w:style>
  <w:style w:type="character" w:customStyle="1" w:styleId="240">
    <w:name w:val="copytolefthover"/>
    <w:basedOn w:val="48"/>
    <w:uiPriority w:val="0"/>
    <w:rPr>
      <w:vanish/>
    </w:rPr>
  </w:style>
  <w:style w:type="character" w:customStyle="1" w:styleId="241">
    <w:name w:val="hover41"/>
    <w:basedOn w:val="48"/>
    <w:uiPriority w:val="0"/>
    <w:rPr>
      <w:color w:val="2490F8"/>
    </w:rPr>
  </w:style>
  <w:style w:type="character" w:customStyle="1" w:styleId="242">
    <w:name w:val="ico1653"/>
    <w:basedOn w:val="48"/>
    <w:uiPriority w:val="0"/>
  </w:style>
  <w:style w:type="character" w:customStyle="1" w:styleId="243">
    <w:name w:val="ico1655"/>
    <w:basedOn w:val="48"/>
    <w:uiPriority w:val="0"/>
  </w:style>
  <w:style w:type="character" w:customStyle="1" w:styleId="244">
    <w:name w:val="active5"/>
    <w:basedOn w:val="48"/>
    <w:uiPriority w:val="0"/>
    <w:rPr>
      <w:color w:val="00FF00"/>
      <w:shd w:val="clear" w:fill="111111"/>
    </w:rPr>
  </w:style>
  <w:style w:type="character" w:customStyle="1" w:styleId="245">
    <w:name w:val="hilite6"/>
    <w:basedOn w:val="48"/>
    <w:qFormat/>
    <w:uiPriority w:val="0"/>
    <w:rPr>
      <w:color w:val="FFFFFF"/>
      <w:shd w:val="clear" w:fill="666666"/>
    </w:rPr>
  </w:style>
  <w:style w:type="character" w:customStyle="1" w:styleId="246">
    <w:name w:val="button3"/>
    <w:basedOn w:val="48"/>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46AA4-F2DA-455E-8A3D-88E4F3BFDB6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8219</Words>
  <Characters>8600</Characters>
  <Lines>108</Lines>
  <Paragraphs>30</Paragraphs>
  <TotalTime>6</TotalTime>
  <ScaleCrop>false</ScaleCrop>
  <LinksUpToDate>false</LinksUpToDate>
  <CharactersWithSpaces>9636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2022-09-19T03:29:43Z</dcterms:modified>
  <dc:title>公开招标文件（货物服务类）</dc:title>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F70FFE8069F241C299BFBB87409EC81A</vt:lpwstr>
  </property>
</Properties>
</file>