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PTA海水泵站电解R8012-1电解槽更新项目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Ansi="宋体" w:cs="宋体"/>
          <w:sz w:val="24"/>
          <w:szCs w:val="24"/>
        </w:rPr>
        <w:t>FHC-PTCG20220613001</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二〇二二年九月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5"/>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福建福海创石油化工有限公司PTA海水泵站电解R8012-1电解槽更新项目比选公告</w:t>
      </w:r>
    </w:p>
    <w:p>
      <w:pPr>
        <w:pStyle w:val="20"/>
        <w:rPr>
          <w:b/>
          <w:sz w:val="28"/>
          <w:lang w:eastAsia="zh-CN"/>
        </w:rPr>
      </w:pPr>
    </w:p>
    <w:p>
      <w:pPr>
        <w:pStyle w:val="20"/>
        <w:spacing w:before="0" w:line="600" w:lineRule="exact"/>
        <w:ind w:right="0"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福建福海创石油化工有限公司PTA海水泵站电解R8012-1电解槽更新项目（项目编号：FHC-PTCG20220613001）</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项目名称：福建福海创石油化工有限公司PTA海水泵站电解R8012-1电解槽更新项目。</w:t>
      </w:r>
    </w:p>
    <w:p>
      <w:pPr>
        <w:tabs>
          <w:tab w:val="left" w:pos="709"/>
        </w:tabs>
        <w:spacing w:line="600" w:lineRule="exact"/>
        <w:ind w:firstLine="480" w:firstLineChars="200"/>
        <w:jc w:val="both"/>
        <w:rPr>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600" w:lineRule="exact"/>
        <w:ind w:firstLine="480" w:firstLineChars="200"/>
        <w:jc w:val="both"/>
        <w:rPr>
          <w:sz w:val="24"/>
          <w:szCs w:val="24"/>
          <w:lang w:eastAsia="zh-CN"/>
        </w:rPr>
      </w:pPr>
      <w:r>
        <w:rPr>
          <w:rFonts w:hint="eastAsia"/>
          <w:sz w:val="24"/>
          <w:szCs w:val="24"/>
          <w:lang w:eastAsia="zh-CN"/>
        </w:rPr>
        <w:t>1）、福海创PTA海水泵站电解R8012-1电解槽因电极腐蚀需要更新,因不同厂商提供设备范围不同，有些厂商可以单独提供电解电极（原电解槽壳体利旧），有些厂商则只能提供整套电解槽（含电极），现拟以下两套供货方案, 供应商选择其中一种方案进行供货：</w:t>
      </w:r>
    </w:p>
    <w:p>
      <w:pPr>
        <w:tabs>
          <w:tab w:val="left" w:pos="709"/>
        </w:tabs>
        <w:spacing w:line="600" w:lineRule="exact"/>
        <w:ind w:firstLine="480" w:firstLineChars="200"/>
        <w:jc w:val="both"/>
        <w:rPr>
          <w:sz w:val="24"/>
          <w:szCs w:val="24"/>
          <w:lang w:eastAsia="zh-CN"/>
        </w:rPr>
      </w:pPr>
      <w:r>
        <w:rPr>
          <w:rFonts w:hint="eastAsia"/>
          <w:sz w:val="24"/>
          <w:szCs w:val="24"/>
          <w:lang w:eastAsia="zh-CN"/>
        </w:rPr>
        <w:t>方案一：按技术要求提供电解电极，并指导安装、调试。</w:t>
      </w:r>
    </w:p>
    <w:p>
      <w:pPr>
        <w:widowControl/>
        <w:shd w:val="clear" w:color="auto" w:fill="FFFFFF"/>
        <w:spacing w:line="600" w:lineRule="exact"/>
        <w:ind w:firstLine="480" w:firstLineChars="200"/>
        <w:jc w:val="both"/>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a、电极</w:t>
      </w:r>
    </w:p>
    <w:p>
      <w:pPr>
        <w:widowControl/>
        <w:shd w:val="clear" w:color="auto" w:fill="FFFFFF"/>
        <w:spacing w:line="600" w:lineRule="exact"/>
        <w:ind w:firstLine="480" w:firstLineChars="200"/>
        <w:jc w:val="both"/>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型式：板式双极式电极</w:t>
      </w:r>
    </w:p>
    <w:p>
      <w:pPr>
        <w:widowControl/>
        <w:shd w:val="clear" w:color="auto" w:fill="FFFFFF"/>
        <w:spacing w:line="600" w:lineRule="exact"/>
        <w:ind w:firstLine="480" w:firstLineChars="200"/>
        <w:jc w:val="both"/>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工作电压：直流230V</w:t>
      </w:r>
    </w:p>
    <w:p>
      <w:pPr>
        <w:widowControl/>
        <w:shd w:val="clear" w:color="auto" w:fill="FFFFFF"/>
        <w:spacing w:line="600" w:lineRule="exact"/>
        <w:ind w:firstLine="480" w:firstLineChars="200"/>
        <w:jc w:val="both"/>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工作电流：2800A</w:t>
      </w:r>
    </w:p>
    <w:p>
      <w:pPr>
        <w:widowControl/>
        <w:shd w:val="clear" w:color="auto" w:fill="FFFFFF"/>
        <w:spacing w:line="600" w:lineRule="exact"/>
        <w:ind w:firstLine="480" w:firstLineChars="200"/>
        <w:jc w:val="both"/>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直流电耗：≦4.5kWh/kg</w:t>
      </w:r>
    </w:p>
    <w:p>
      <w:pPr>
        <w:widowControl/>
        <w:shd w:val="clear" w:color="auto" w:fill="FFFFFF"/>
        <w:spacing w:line="600" w:lineRule="exact"/>
        <w:ind w:firstLine="480" w:firstLineChars="200"/>
        <w:jc w:val="both"/>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阳极材质：钛涂多元贵金属氧化物涂层</w:t>
      </w:r>
    </w:p>
    <w:p>
      <w:pPr>
        <w:widowControl/>
        <w:shd w:val="clear" w:color="auto" w:fill="FFFFFF"/>
        <w:spacing w:line="600" w:lineRule="exact"/>
        <w:ind w:firstLine="480" w:firstLineChars="200"/>
        <w:jc w:val="both"/>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阴极材质：钛</w:t>
      </w:r>
    </w:p>
    <w:p>
      <w:pPr>
        <w:widowControl/>
        <w:shd w:val="clear" w:color="auto" w:fill="FFFFFF"/>
        <w:spacing w:line="600" w:lineRule="exact"/>
        <w:ind w:firstLine="480" w:firstLineChars="200"/>
        <w:jc w:val="both"/>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阴阳极之间在干燥状态下的绝缘电阻不小于1k</w:t>
      </w:r>
      <w:r>
        <w:rPr>
          <w:rFonts w:hint="eastAsia" w:asciiTheme="minorEastAsia" w:hAnsiTheme="minorEastAsia" w:eastAsiaTheme="minorEastAsia"/>
          <w:bCs/>
          <w:sz w:val="24"/>
        </w:rPr>
        <w:t>Ω</w:t>
      </w:r>
    </w:p>
    <w:p>
      <w:pPr>
        <w:widowControl/>
        <w:shd w:val="clear" w:color="auto" w:fill="FFFFFF"/>
        <w:spacing w:line="600" w:lineRule="exact"/>
        <w:ind w:firstLine="480" w:firstLineChars="200"/>
        <w:jc w:val="both"/>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电极使用寿命：≥5年</w:t>
      </w:r>
    </w:p>
    <w:p>
      <w:pPr>
        <w:pStyle w:val="2"/>
        <w:spacing w:line="600" w:lineRule="exact"/>
        <w:ind w:firstLine="680" w:firstLineChars="200"/>
      </w:pPr>
    </w:p>
    <w:p>
      <w:pPr>
        <w:tabs>
          <w:tab w:val="left" w:pos="709"/>
        </w:tabs>
        <w:spacing w:line="600" w:lineRule="exact"/>
        <w:ind w:firstLine="480" w:firstLineChars="200"/>
        <w:jc w:val="both"/>
        <w:rPr>
          <w:sz w:val="24"/>
          <w:szCs w:val="24"/>
          <w:lang w:eastAsia="zh-CN"/>
        </w:rPr>
      </w:pPr>
      <w:r>
        <w:rPr>
          <w:rFonts w:hint="eastAsia"/>
          <w:sz w:val="24"/>
          <w:szCs w:val="24"/>
          <w:lang w:eastAsia="zh-CN"/>
        </w:rPr>
        <w:t>方案二：按技术要求提供电解槽（含壳体和电极），并指导安装、调试。</w:t>
      </w:r>
    </w:p>
    <w:p>
      <w:pPr>
        <w:tabs>
          <w:tab w:val="left" w:pos="709"/>
        </w:tabs>
        <w:spacing w:line="600" w:lineRule="exact"/>
        <w:ind w:firstLine="480" w:firstLineChars="200"/>
        <w:jc w:val="both"/>
        <w:rPr>
          <w:sz w:val="24"/>
          <w:szCs w:val="24"/>
          <w:lang w:eastAsia="zh-CN"/>
        </w:rPr>
      </w:pPr>
      <w:r>
        <w:rPr>
          <w:rFonts w:hint="eastAsia"/>
          <w:sz w:val="24"/>
          <w:szCs w:val="24"/>
          <w:lang w:eastAsia="zh-CN"/>
        </w:rPr>
        <w:t>除原电解槽厂家外其他厂家需要到现场进行电解槽的阳极、阴极、壳体、槽盖、密封件、紧固件等测量，各部件材质确认。</w:t>
      </w:r>
    </w:p>
    <w:p>
      <w:pPr>
        <w:widowControl/>
        <w:shd w:val="clear" w:color="auto" w:fill="FFFFFF"/>
        <w:spacing w:line="600" w:lineRule="exact"/>
        <w:ind w:firstLine="480" w:firstLineChars="200"/>
        <w:jc w:val="both"/>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b、电解槽（含电极）</w:t>
      </w:r>
    </w:p>
    <w:p>
      <w:pPr>
        <w:widowControl/>
        <w:shd w:val="clear" w:color="auto" w:fill="FFFFFF"/>
        <w:spacing w:line="600" w:lineRule="exact"/>
        <w:ind w:firstLine="480" w:firstLineChars="200"/>
        <w:jc w:val="both"/>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电解槽应有良好的密封性，其水密性试验压力应为电解槽设计压力的1.25倍。电极要求参照技术要求第1条，工艺参数如下：</w:t>
      </w:r>
    </w:p>
    <w:p>
      <w:pPr>
        <w:widowControl/>
        <w:shd w:val="clear" w:color="auto" w:fill="FFFFFF"/>
        <w:spacing w:line="600" w:lineRule="exact"/>
        <w:ind w:firstLine="480" w:firstLineChars="200"/>
        <w:jc w:val="both"/>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型式：外部PVC缠绕玻璃钢管，内部板式双极式电极</w:t>
      </w:r>
      <w:r>
        <w:rPr>
          <w:rFonts w:asciiTheme="minorEastAsia" w:hAnsiTheme="minorEastAsia" w:eastAsiaTheme="minorEastAsia"/>
          <w:bCs/>
          <w:sz w:val="24"/>
          <w:lang w:eastAsia="zh-CN"/>
        </w:rPr>
        <w:t xml:space="preserve"> </w:t>
      </w:r>
    </w:p>
    <w:p>
      <w:pPr>
        <w:widowControl/>
        <w:shd w:val="clear" w:color="auto" w:fill="FFFFFF"/>
        <w:spacing w:line="600" w:lineRule="exact"/>
        <w:ind w:firstLine="480" w:firstLineChars="200"/>
        <w:jc w:val="both"/>
        <w:rPr>
          <w:rFonts w:asciiTheme="minorEastAsia" w:hAnsiTheme="minorEastAsia" w:eastAsiaTheme="minorEastAsia"/>
          <w:bCs/>
          <w:sz w:val="24"/>
        </w:rPr>
      </w:pPr>
      <w:r>
        <w:rPr>
          <w:rFonts w:hint="eastAsia" w:asciiTheme="minorEastAsia" w:hAnsiTheme="minorEastAsia" w:eastAsiaTheme="minorEastAsia"/>
          <w:bCs/>
          <w:sz w:val="24"/>
        </w:rPr>
        <w:t>有效氯产量：120kg/h</w:t>
      </w:r>
    </w:p>
    <w:p>
      <w:pPr>
        <w:widowControl/>
        <w:shd w:val="clear" w:color="auto" w:fill="FFFFFF"/>
        <w:spacing w:line="600" w:lineRule="exact"/>
        <w:ind w:firstLine="480" w:firstLineChars="200"/>
        <w:jc w:val="both"/>
        <w:rPr>
          <w:rFonts w:asciiTheme="minorEastAsia" w:hAnsiTheme="minorEastAsia" w:eastAsiaTheme="minorEastAsia"/>
          <w:bCs/>
          <w:sz w:val="24"/>
        </w:rPr>
      </w:pPr>
      <w:r>
        <w:rPr>
          <w:rFonts w:hint="eastAsia" w:asciiTheme="minorEastAsia" w:hAnsiTheme="minorEastAsia" w:eastAsiaTheme="minorEastAsia"/>
          <w:bCs/>
          <w:sz w:val="24"/>
        </w:rPr>
        <w:t>有效氯浓度：≥1500ppm</w:t>
      </w:r>
    </w:p>
    <w:p>
      <w:pPr>
        <w:widowControl/>
        <w:shd w:val="clear" w:color="auto" w:fill="FFFFFF"/>
        <w:spacing w:line="600" w:lineRule="exact"/>
        <w:ind w:firstLine="480" w:firstLineChars="200"/>
        <w:jc w:val="both"/>
        <w:rPr>
          <w:rFonts w:asciiTheme="minorEastAsia" w:hAnsiTheme="minorEastAsia" w:eastAsiaTheme="minorEastAsia"/>
          <w:bCs/>
          <w:sz w:val="24"/>
        </w:rPr>
      </w:pPr>
      <w:r>
        <w:rPr>
          <w:rFonts w:hint="eastAsia" w:asciiTheme="minorEastAsia" w:hAnsiTheme="minorEastAsia" w:eastAsiaTheme="minorEastAsia"/>
          <w:bCs/>
          <w:sz w:val="24"/>
        </w:rPr>
        <w:t>最大工作压力：0.6MPa</w:t>
      </w:r>
    </w:p>
    <w:p>
      <w:pPr>
        <w:widowControl/>
        <w:shd w:val="clear" w:color="auto" w:fill="FFFFFF"/>
        <w:spacing w:line="600" w:lineRule="exact"/>
        <w:ind w:firstLine="480" w:firstLineChars="200"/>
        <w:jc w:val="both"/>
        <w:rPr>
          <w:rFonts w:asciiTheme="minorEastAsia" w:hAnsiTheme="minorEastAsia" w:eastAsiaTheme="minorEastAsia"/>
          <w:bCs/>
          <w:sz w:val="24"/>
        </w:rPr>
      </w:pPr>
      <w:r>
        <w:rPr>
          <w:rFonts w:hint="eastAsia" w:asciiTheme="minorEastAsia" w:hAnsiTheme="minorEastAsia" w:eastAsiaTheme="minorEastAsia"/>
          <w:bCs/>
          <w:sz w:val="24"/>
        </w:rPr>
        <w:t>工作压力： 0.25MPa</w:t>
      </w:r>
    </w:p>
    <w:p>
      <w:pPr>
        <w:widowControl/>
        <w:shd w:val="clear" w:color="auto" w:fill="FFFFFF"/>
        <w:spacing w:line="600" w:lineRule="exact"/>
        <w:ind w:firstLine="480" w:firstLineChars="200"/>
        <w:jc w:val="both"/>
        <w:rPr>
          <w:rFonts w:asciiTheme="minorEastAsia" w:hAnsiTheme="minorEastAsia" w:eastAsiaTheme="minorEastAsia"/>
          <w:bCs/>
          <w:sz w:val="24"/>
        </w:rPr>
      </w:pPr>
      <w:r>
        <w:rPr>
          <w:rFonts w:hint="eastAsia" w:asciiTheme="minorEastAsia" w:hAnsiTheme="minorEastAsia" w:eastAsiaTheme="minorEastAsia"/>
          <w:bCs/>
          <w:sz w:val="24"/>
        </w:rPr>
        <w:t>液体流量： 70</w:t>
      </w:r>
      <w:r>
        <w:rPr>
          <w:rFonts w:asciiTheme="minorEastAsia" w:hAnsiTheme="minorEastAsia" w:eastAsiaTheme="minorEastAsia"/>
          <w:bCs/>
          <w:sz w:val="24"/>
        </w:rPr>
        <w:t>m</w:t>
      </w:r>
      <w:r>
        <w:rPr>
          <w:rFonts w:hint="eastAsia" w:asciiTheme="minorEastAsia" w:hAnsiTheme="minorEastAsia" w:eastAsiaTheme="minorEastAsia"/>
          <w:bCs/>
          <w:sz w:val="24"/>
        </w:rPr>
        <w:t>³</w:t>
      </w:r>
      <w:r>
        <w:rPr>
          <w:rFonts w:asciiTheme="minorEastAsia" w:hAnsiTheme="minorEastAsia" w:eastAsiaTheme="minorEastAsia"/>
          <w:bCs/>
          <w:sz w:val="24"/>
        </w:rPr>
        <w:t>/h</w:t>
      </w:r>
    </w:p>
    <w:p>
      <w:pPr>
        <w:widowControl/>
        <w:shd w:val="clear" w:color="auto" w:fill="FFFFFF"/>
        <w:spacing w:line="600" w:lineRule="exact"/>
        <w:ind w:firstLine="480" w:firstLineChars="200"/>
        <w:jc w:val="both"/>
        <w:rPr>
          <w:lang w:eastAsia="zh-CN"/>
        </w:rPr>
      </w:pPr>
      <w:r>
        <w:rPr>
          <w:rFonts w:hint="eastAsia" w:asciiTheme="minorEastAsia" w:hAnsiTheme="minorEastAsia" w:eastAsiaTheme="minorEastAsia"/>
          <w:bCs/>
          <w:sz w:val="24"/>
        </w:rPr>
        <w:t>设计压力： 0.375MPa</w:t>
      </w:r>
    </w:p>
    <w:p>
      <w:pPr>
        <w:spacing w:line="600" w:lineRule="exact"/>
        <w:ind w:firstLine="480" w:firstLineChars="200"/>
        <w:jc w:val="both"/>
        <w:rPr>
          <w:lang w:eastAsia="zh-CN"/>
        </w:rPr>
      </w:pPr>
      <w:r>
        <w:rPr>
          <w:rFonts w:hint="eastAsia"/>
          <w:sz w:val="24"/>
          <w:szCs w:val="24"/>
          <w:lang w:eastAsia="zh-CN"/>
        </w:rPr>
        <w:t>2）、工程量表</w:t>
      </w:r>
    </w:p>
    <w:tbl>
      <w:tblPr>
        <w:tblStyle w:val="47"/>
        <w:tblW w:w="8698"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2"/>
        <w:gridCol w:w="2412"/>
        <w:gridCol w:w="3335"/>
        <w:gridCol w:w="178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blHeader/>
          <w:jc w:val="center"/>
        </w:trPr>
        <w:tc>
          <w:tcPr>
            <w:tcW w:w="1162" w:type="dxa"/>
            <w:tcBorders>
              <w:left w:val="single" w:color="auto" w:sz="4" w:space="0"/>
              <w:right w:val="single" w:color="auto" w:sz="4" w:space="0"/>
            </w:tcBorders>
            <w:vAlign w:val="center"/>
          </w:tcPr>
          <w:p>
            <w:pPr>
              <w:tabs>
                <w:tab w:val="left" w:pos="709"/>
              </w:tabs>
              <w:spacing w:line="600" w:lineRule="exact"/>
              <w:ind w:firstLine="0" w:firstLineChars="0"/>
              <w:jc w:val="both"/>
              <w:rPr>
                <w:sz w:val="24"/>
                <w:szCs w:val="24"/>
                <w:lang w:eastAsia="zh-CN"/>
              </w:rPr>
            </w:pPr>
            <w:r>
              <w:rPr>
                <w:rFonts w:hint="eastAsia"/>
                <w:sz w:val="24"/>
                <w:szCs w:val="24"/>
                <w:lang w:eastAsia="zh-CN"/>
              </w:rPr>
              <w:t>序号</w:t>
            </w:r>
          </w:p>
        </w:tc>
        <w:tc>
          <w:tcPr>
            <w:tcW w:w="2412" w:type="dxa"/>
            <w:tcBorders>
              <w:left w:val="single" w:color="auto" w:sz="4" w:space="0"/>
              <w:right w:val="single" w:color="auto" w:sz="4" w:space="0"/>
            </w:tcBorders>
            <w:vAlign w:val="center"/>
          </w:tcPr>
          <w:p>
            <w:pPr>
              <w:tabs>
                <w:tab w:val="left" w:pos="709"/>
              </w:tabs>
              <w:spacing w:line="600" w:lineRule="exact"/>
              <w:ind w:firstLine="480" w:firstLineChars="200"/>
              <w:jc w:val="both"/>
              <w:rPr>
                <w:sz w:val="24"/>
                <w:szCs w:val="24"/>
                <w:lang w:eastAsia="zh-CN"/>
              </w:rPr>
            </w:pPr>
            <w:r>
              <w:rPr>
                <w:rFonts w:hint="eastAsia"/>
                <w:sz w:val="24"/>
                <w:szCs w:val="24"/>
                <w:lang w:eastAsia="zh-CN"/>
              </w:rPr>
              <w:t>名称</w:t>
            </w:r>
          </w:p>
        </w:tc>
        <w:tc>
          <w:tcPr>
            <w:tcW w:w="3335" w:type="dxa"/>
            <w:tcBorders>
              <w:left w:val="single" w:color="auto" w:sz="4" w:space="0"/>
              <w:right w:val="single" w:color="auto" w:sz="4" w:space="0"/>
            </w:tcBorders>
            <w:vAlign w:val="center"/>
          </w:tcPr>
          <w:p>
            <w:pPr>
              <w:tabs>
                <w:tab w:val="left" w:pos="709"/>
              </w:tabs>
              <w:spacing w:line="600" w:lineRule="exact"/>
              <w:ind w:firstLine="480" w:firstLineChars="200"/>
              <w:jc w:val="both"/>
              <w:rPr>
                <w:sz w:val="24"/>
                <w:szCs w:val="24"/>
                <w:lang w:eastAsia="zh-CN"/>
              </w:rPr>
            </w:pPr>
            <w:r>
              <w:rPr>
                <w:rFonts w:hint="eastAsia"/>
                <w:sz w:val="24"/>
                <w:szCs w:val="24"/>
                <w:lang w:eastAsia="zh-CN"/>
              </w:rPr>
              <w:t>品牌</w:t>
            </w:r>
          </w:p>
        </w:tc>
        <w:tc>
          <w:tcPr>
            <w:tcW w:w="1789" w:type="dxa"/>
            <w:tcBorders>
              <w:left w:val="single" w:color="auto" w:sz="4" w:space="0"/>
              <w:right w:val="single" w:color="auto" w:sz="4" w:space="0"/>
            </w:tcBorders>
            <w:vAlign w:val="center"/>
          </w:tcPr>
          <w:p>
            <w:pPr>
              <w:tabs>
                <w:tab w:val="left" w:pos="709"/>
              </w:tabs>
              <w:spacing w:line="600" w:lineRule="exact"/>
              <w:ind w:firstLine="480" w:firstLineChars="200"/>
              <w:jc w:val="both"/>
              <w:rPr>
                <w:sz w:val="24"/>
                <w:szCs w:val="24"/>
                <w:lang w:eastAsia="zh-CN"/>
              </w:rPr>
            </w:pPr>
            <w:r>
              <w:rPr>
                <w:rFonts w:hint="eastAsia"/>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jc w:val="center"/>
        </w:trPr>
        <w:tc>
          <w:tcPr>
            <w:tcW w:w="1162" w:type="dxa"/>
            <w:vAlign w:val="center"/>
          </w:tcPr>
          <w:p>
            <w:pPr>
              <w:tabs>
                <w:tab w:val="left" w:pos="709"/>
              </w:tabs>
              <w:spacing w:line="600" w:lineRule="exact"/>
              <w:ind w:firstLine="0" w:firstLineChars="0"/>
              <w:jc w:val="both"/>
              <w:rPr>
                <w:sz w:val="24"/>
                <w:szCs w:val="24"/>
                <w:lang w:eastAsia="zh-CN"/>
              </w:rPr>
            </w:pPr>
            <w:r>
              <w:rPr>
                <w:rFonts w:hint="eastAsia"/>
                <w:sz w:val="24"/>
                <w:szCs w:val="24"/>
                <w:lang w:eastAsia="zh-CN"/>
              </w:rPr>
              <w:t>方案一</w:t>
            </w:r>
          </w:p>
        </w:tc>
        <w:tc>
          <w:tcPr>
            <w:tcW w:w="2412" w:type="dxa"/>
            <w:vAlign w:val="center"/>
          </w:tcPr>
          <w:p>
            <w:pPr>
              <w:tabs>
                <w:tab w:val="left" w:pos="709"/>
              </w:tabs>
              <w:spacing w:line="600" w:lineRule="exact"/>
              <w:ind w:firstLine="480" w:firstLineChars="200"/>
              <w:jc w:val="both"/>
              <w:rPr>
                <w:sz w:val="24"/>
                <w:szCs w:val="24"/>
                <w:lang w:eastAsia="zh-CN"/>
              </w:rPr>
            </w:pPr>
            <w:r>
              <w:rPr>
                <w:rFonts w:hint="eastAsia"/>
                <w:sz w:val="24"/>
                <w:szCs w:val="24"/>
                <w:lang w:eastAsia="zh-CN"/>
              </w:rPr>
              <w:t>板式双极式电极</w:t>
            </w:r>
          </w:p>
        </w:tc>
        <w:tc>
          <w:tcPr>
            <w:tcW w:w="3335" w:type="dxa"/>
            <w:vAlign w:val="center"/>
          </w:tcPr>
          <w:p>
            <w:pPr>
              <w:tabs>
                <w:tab w:val="left" w:pos="709"/>
              </w:tabs>
              <w:spacing w:line="600" w:lineRule="exact"/>
              <w:ind w:firstLine="480" w:firstLineChars="200"/>
              <w:jc w:val="both"/>
              <w:rPr>
                <w:sz w:val="24"/>
                <w:szCs w:val="24"/>
                <w:lang w:eastAsia="zh-CN"/>
              </w:rPr>
            </w:pPr>
            <w:r>
              <w:rPr>
                <w:rFonts w:hint="eastAsia"/>
                <w:sz w:val="24"/>
                <w:szCs w:val="24"/>
                <w:lang w:eastAsia="zh-CN"/>
              </w:rPr>
              <w:t>青岛双瑞、湖南源生环保、西安泰金、广西博世科</w:t>
            </w:r>
          </w:p>
        </w:tc>
        <w:tc>
          <w:tcPr>
            <w:tcW w:w="1789" w:type="dxa"/>
            <w:vAlign w:val="center"/>
          </w:tcPr>
          <w:p>
            <w:pPr>
              <w:tabs>
                <w:tab w:val="left" w:pos="709"/>
              </w:tabs>
              <w:spacing w:line="600" w:lineRule="exact"/>
              <w:ind w:firstLine="480" w:firstLineChars="200"/>
              <w:jc w:val="both"/>
              <w:rPr>
                <w:sz w:val="24"/>
                <w:szCs w:val="24"/>
                <w:lang w:eastAsia="zh-CN"/>
              </w:rPr>
            </w:pPr>
            <w:r>
              <w:rPr>
                <w:rFonts w:hint="eastAsia"/>
                <w:sz w:val="24"/>
                <w:szCs w:val="24"/>
                <w:lang w:eastAsia="zh-CN"/>
              </w:rPr>
              <w:t>4根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jc w:val="center"/>
        </w:trPr>
        <w:tc>
          <w:tcPr>
            <w:tcW w:w="1162" w:type="dxa"/>
            <w:vAlign w:val="center"/>
          </w:tcPr>
          <w:p>
            <w:pPr>
              <w:tabs>
                <w:tab w:val="left" w:pos="709"/>
              </w:tabs>
              <w:spacing w:line="600" w:lineRule="exact"/>
              <w:ind w:firstLine="0" w:firstLineChars="0"/>
              <w:jc w:val="both"/>
              <w:rPr>
                <w:sz w:val="24"/>
                <w:szCs w:val="24"/>
                <w:lang w:eastAsia="zh-CN"/>
              </w:rPr>
            </w:pPr>
            <w:r>
              <w:rPr>
                <w:rFonts w:hint="eastAsia"/>
                <w:sz w:val="24"/>
                <w:szCs w:val="24"/>
                <w:lang w:eastAsia="zh-CN"/>
              </w:rPr>
              <w:t>方案二</w:t>
            </w:r>
          </w:p>
        </w:tc>
        <w:tc>
          <w:tcPr>
            <w:tcW w:w="2412" w:type="dxa"/>
            <w:vAlign w:val="center"/>
          </w:tcPr>
          <w:p>
            <w:pPr>
              <w:tabs>
                <w:tab w:val="left" w:pos="709"/>
              </w:tabs>
              <w:spacing w:line="600" w:lineRule="exact"/>
              <w:ind w:firstLine="480" w:firstLineChars="200"/>
              <w:jc w:val="both"/>
              <w:rPr>
                <w:sz w:val="24"/>
                <w:szCs w:val="24"/>
                <w:lang w:eastAsia="zh-CN"/>
              </w:rPr>
            </w:pPr>
            <w:r>
              <w:rPr>
                <w:rFonts w:hint="eastAsia"/>
                <w:sz w:val="24"/>
                <w:szCs w:val="24"/>
                <w:lang w:eastAsia="zh-CN"/>
              </w:rPr>
              <w:t>管板式电解槽（含壳体和电极）</w:t>
            </w:r>
          </w:p>
        </w:tc>
        <w:tc>
          <w:tcPr>
            <w:tcW w:w="3335" w:type="dxa"/>
            <w:vAlign w:val="center"/>
          </w:tcPr>
          <w:p>
            <w:pPr>
              <w:tabs>
                <w:tab w:val="left" w:pos="709"/>
              </w:tabs>
              <w:spacing w:line="600" w:lineRule="exact"/>
              <w:ind w:firstLine="480" w:firstLineChars="200"/>
              <w:jc w:val="both"/>
              <w:rPr>
                <w:sz w:val="24"/>
                <w:szCs w:val="24"/>
                <w:lang w:eastAsia="zh-CN"/>
              </w:rPr>
            </w:pPr>
            <w:r>
              <w:rPr>
                <w:rFonts w:hint="eastAsia"/>
                <w:sz w:val="24"/>
                <w:szCs w:val="24"/>
                <w:lang w:eastAsia="zh-CN"/>
              </w:rPr>
              <w:t>青岛双瑞、湖南源生环保、西安泰金、广西博世科</w:t>
            </w:r>
          </w:p>
        </w:tc>
        <w:tc>
          <w:tcPr>
            <w:tcW w:w="1789" w:type="dxa"/>
            <w:vAlign w:val="center"/>
          </w:tcPr>
          <w:p>
            <w:pPr>
              <w:tabs>
                <w:tab w:val="left" w:pos="709"/>
              </w:tabs>
              <w:spacing w:line="600" w:lineRule="exact"/>
              <w:ind w:firstLine="480" w:firstLineChars="200"/>
              <w:jc w:val="both"/>
              <w:rPr>
                <w:sz w:val="24"/>
                <w:szCs w:val="24"/>
                <w:lang w:eastAsia="zh-CN"/>
              </w:rPr>
            </w:pPr>
            <w:r>
              <w:rPr>
                <w:rFonts w:hint="eastAsia"/>
                <w:sz w:val="24"/>
                <w:szCs w:val="24"/>
                <w:lang w:eastAsia="zh-CN"/>
              </w:rPr>
              <w:t>1套（4台壳体和4根电极）</w:t>
            </w:r>
          </w:p>
        </w:tc>
      </w:tr>
    </w:tbl>
    <w:p>
      <w:pPr>
        <w:tabs>
          <w:tab w:val="left" w:pos="709"/>
        </w:tabs>
        <w:spacing w:line="600" w:lineRule="exact"/>
        <w:ind w:firstLine="480" w:firstLineChars="200"/>
        <w:jc w:val="both"/>
        <w:rPr>
          <w:sz w:val="24"/>
          <w:szCs w:val="24"/>
          <w:lang w:eastAsia="zh-CN"/>
        </w:rPr>
      </w:pPr>
    </w:p>
    <w:p>
      <w:pPr>
        <w:tabs>
          <w:tab w:val="left" w:pos="709"/>
        </w:tabs>
        <w:spacing w:line="600" w:lineRule="exact"/>
        <w:ind w:firstLine="482" w:firstLineChars="200"/>
        <w:jc w:val="both"/>
        <w:rPr>
          <w:sz w:val="24"/>
          <w:szCs w:val="24"/>
          <w:lang w:eastAsia="zh-CN"/>
        </w:rPr>
      </w:pPr>
      <w:r>
        <w:rPr>
          <w:rFonts w:hint="eastAsia"/>
          <w:b/>
          <w:bCs/>
          <w:sz w:val="24"/>
          <w:szCs w:val="24"/>
          <w:lang w:eastAsia="zh-CN"/>
        </w:rPr>
        <w:t>以上内容具体详见附件1、《PTA海水泵站电解R8012-1电解槽更新发包说明》。</w:t>
      </w:r>
    </w:p>
    <w:p>
      <w:pPr>
        <w:tabs>
          <w:tab w:val="left" w:pos="709"/>
        </w:tabs>
        <w:spacing w:line="600" w:lineRule="exact"/>
        <w:ind w:firstLine="480" w:firstLineChars="200"/>
        <w:jc w:val="both"/>
        <w:rPr>
          <w:lang w:eastAsia="zh-CN"/>
        </w:rPr>
      </w:pPr>
      <w:r>
        <w:rPr>
          <w:rFonts w:hint="eastAsia"/>
          <w:sz w:val="24"/>
          <w:szCs w:val="24"/>
          <w:lang w:eastAsia="zh-CN"/>
        </w:rPr>
        <w:t>3.</w:t>
      </w:r>
      <w:r>
        <w:rPr>
          <w:rFonts w:hint="eastAsia"/>
          <w:sz w:val="24"/>
          <w:lang w:eastAsia="zh-CN"/>
        </w:rPr>
        <w:t>付款方式要求：无预付款。全部货款以现汇支付，货到验收合格付90%，质保金10%（质保期以最终双方签定的技术协议为准）。</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r>
        <w:rPr>
          <w:rFonts w:hint="eastAsia"/>
          <w:b/>
          <w:snapToGrid w:val="0"/>
          <w:color w:val="000000" w:themeColor="text1"/>
          <w:spacing w:val="8"/>
          <w:sz w:val="24"/>
          <w:szCs w:val="24"/>
          <w:lang w:eastAsia="zh-CN"/>
        </w:rPr>
        <w:t>及供货周期要求</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6"/>
        <w:spacing w:line="600" w:lineRule="exact"/>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600" w:lineRule="exact"/>
        <w:ind w:firstLine="480" w:firstLineChars="200"/>
        <w:jc w:val="both"/>
        <w:rPr>
          <w:rFonts w:ascii="Calibri" w:hAnsi="Calibri" w:cs="Times New Roman"/>
          <w:color w:val="000000" w:themeColor="text1"/>
          <w:kern w:val="2"/>
          <w:sz w:val="24"/>
          <w:szCs w:val="24"/>
          <w:lang w:eastAsia="zh-CN"/>
        </w:rPr>
      </w:pPr>
      <w:r>
        <w:rPr>
          <w:rFonts w:hint="eastAsia"/>
          <w:color w:val="000000" w:themeColor="text1"/>
          <w:sz w:val="24"/>
          <w:szCs w:val="24"/>
          <w:lang w:eastAsia="zh-CN"/>
        </w:rPr>
        <w:t>3</w:t>
      </w:r>
      <w:r>
        <w:rPr>
          <w:rFonts w:hint="eastAsia" w:ascii="Calibri" w:hAnsi="Calibri" w:cs="Times New Roman"/>
          <w:color w:val="000000" w:themeColor="text1"/>
          <w:kern w:val="2"/>
          <w:sz w:val="24"/>
          <w:szCs w:val="24"/>
          <w:lang w:eastAsia="zh-CN"/>
        </w:rPr>
        <w:t>.</w:t>
      </w:r>
      <w:r>
        <w:rPr>
          <w:rFonts w:hint="eastAsia" w:asciiTheme="minorEastAsia" w:hAnsiTheme="minorEastAsia" w:eastAsiaTheme="minorEastAsia"/>
          <w:bCs/>
          <w:sz w:val="24"/>
          <w:lang w:eastAsia="zh-CN"/>
        </w:rPr>
        <w:t>具有电解海水次氯酸钠发生装置或电解槽电极的生产制造资质，提供资质证明和近几年业绩情况；</w:t>
      </w:r>
    </w:p>
    <w:p>
      <w:pPr>
        <w:widowControl/>
        <w:shd w:val="clear" w:color="auto" w:fill="FFFFFF"/>
        <w:spacing w:line="600" w:lineRule="exact"/>
        <w:ind w:firstLine="480" w:firstLineChars="200"/>
      </w:pPr>
      <w:r>
        <w:rPr>
          <w:rFonts w:hint="eastAsia"/>
          <w:color w:val="000000" w:themeColor="text1"/>
          <w:sz w:val="24"/>
          <w:szCs w:val="24"/>
          <w:lang w:eastAsia="zh-CN"/>
        </w:rPr>
        <w:t>4.</w:t>
      </w:r>
      <w:r>
        <w:rPr>
          <w:rFonts w:hint="eastAsia" w:asciiTheme="minorEastAsia" w:hAnsiTheme="minorEastAsia" w:eastAsiaTheme="minorEastAsia"/>
          <w:bCs/>
          <w:sz w:val="24"/>
          <w:lang w:eastAsia="zh-CN"/>
        </w:rPr>
        <w:t>供货周期要求为合同生效之日起算，供货时间：T+60天(合同签订完成定为T)。</w:t>
      </w:r>
      <w:r>
        <w:rPr>
          <w:rFonts w:asciiTheme="minorEastAsia" w:hAnsiTheme="minorEastAsia" w:eastAsiaTheme="minorEastAsia"/>
          <w:bCs/>
          <w:sz w:val="24"/>
          <w:lang w:eastAsia="zh-CN"/>
        </w:rPr>
        <w:t xml:space="preserve"> </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报名方式：参选人在报名时间内将报名文件发送至邮箱xumx@fhcpec.com.cn，报名文件包含：</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参选文件递交地点：漳州市漳浦县杜浔镇杜昌路9号，福海创办公楼三楼设备及服务团队，收件人：徐明兴  电话： 13779967252。</w:t>
      </w:r>
    </w:p>
    <w:p>
      <w:pPr>
        <w:tabs>
          <w:tab w:val="left" w:pos="709"/>
        </w:tabs>
        <w:spacing w:line="600" w:lineRule="exact"/>
        <w:ind w:firstLine="480" w:firstLineChars="200"/>
        <w:jc w:val="both"/>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tabs>
          <w:tab w:val="left" w:pos="709"/>
        </w:tabs>
        <w:spacing w:line="600" w:lineRule="exact"/>
        <w:ind w:firstLine="474" w:firstLineChars="200"/>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20"/>
        <w:spacing w:line="600" w:lineRule="exact"/>
        <w:ind w:right="0" w:firstLine="480" w:firstLineChars="200"/>
        <w:jc w:val="both"/>
        <w:rPr>
          <w:color w:val="000000" w:themeColor="text1"/>
          <w:lang w:eastAsia="zh-CN"/>
        </w:rPr>
      </w:pPr>
      <w:bookmarkStart w:id="50" w:name="_GoBack"/>
      <w:bookmarkEnd w:id="50"/>
      <w:r>
        <w:rPr>
          <w:rFonts w:hint="eastAsia"/>
          <w:lang w:eastAsia="zh-CN"/>
        </w:rPr>
        <w:t>1.参选单位应缴纳参选保证金，保证金</w:t>
      </w:r>
      <w:r>
        <w:rPr>
          <w:rFonts w:hint="eastAsia"/>
          <w:color w:val="000000" w:themeColor="text1"/>
          <w:lang w:eastAsia="zh-CN"/>
        </w:rPr>
        <w:t>金额30000元整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600" w:lineRule="exact"/>
        <w:ind w:right="0" w:firstLine="480" w:firstLineChars="200"/>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0"/>
        <w:spacing w:line="600" w:lineRule="exact"/>
        <w:ind w:right="0" w:firstLine="480" w:firstLineChars="200"/>
        <w:jc w:val="both"/>
        <w:rPr>
          <w:lang w:eastAsia="zh-CN"/>
        </w:rPr>
      </w:pPr>
      <w:r>
        <w:rPr>
          <w:rFonts w:hint="eastAsia"/>
          <w:color w:val="000000" w:themeColor="text1"/>
          <w:lang w:eastAsia="zh-CN"/>
        </w:rPr>
        <w:t>开户银行：</w:t>
      </w:r>
      <w:r>
        <w:rPr>
          <w:rFonts w:hint="eastAsia"/>
          <w:lang w:eastAsia="zh-CN"/>
        </w:rPr>
        <w:t>中国银行漳州古雷支行</w:t>
      </w:r>
    </w:p>
    <w:p>
      <w:pPr>
        <w:pStyle w:val="20"/>
        <w:spacing w:line="600" w:lineRule="exact"/>
        <w:ind w:right="0" w:firstLine="480" w:firstLineChars="200"/>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20"/>
        <w:spacing w:line="600" w:lineRule="exact"/>
        <w:ind w:right="0" w:firstLine="480" w:firstLineChars="200"/>
        <w:jc w:val="both"/>
        <w:rPr>
          <w:color w:val="000000" w:themeColor="text1"/>
          <w:lang w:eastAsia="zh-CN"/>
        </w:rPr>
      </w:pPr>
      <w:r>
        <w:rPr>
          <w:rFonts w:hint="eastAsia"/>
          <w:color w:val="000000" w:themeColor="text1"/>
          <w:lang w:eastAsia="zh-CN"/>
        </w:rPr>
        <w:t xml:space="preserve">    注明用途：</w:t>
      </w:r>
      <w:r>
        <w:rPr>
          <w:rFonts w:hint="eastAsia"/>
          <w:lang w:eastAsia="zh-CN"/>
        </w:rPr>
        <w:t>PTA海水泵站电解R8012-1电解槽更新项目</w:t>
      </w:r>
      <w:r>
        <w:rPr>
          <w:rFonts w:hint="eastAsia"/>
          <w:color w:val="000000" w:themeColor="text1"/>
          <w:lang w:eastAsia="zh-CN"/>
        </w:rPr>
        <w:t>参选</w:t>
      </w:r>
      <w:r>
        <w:rPr>
          <w:color w:val="000000" w:themeColor="text1"/>
          <w:lang w:eastAsia="zh-CN"/>
        </w:rPr>
        <w:t>保证金</w:t>
      </w:r>
    </w:p>
    <w:p>
      <w:pPr>
        <w:pStyle w:val="20"/>
        <w:spacing w:line="600" w:lineRule="exact"/>
        <w:ind w:right="0"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600" w:lineRule="exact"/>
        <w:ind w:right="0" w:firstLine="480" w:firstLineChars="20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spacing w:line="600" w:lineRule="exact"/>
        <w:ind w:firstLine="514" w:firstLineChars="200"/>
        <w:jc w:val="both"/>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商务联系人：徐明兴 电话：13779967252 邮箱：xumx@fhcpec.com.cn</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600" w:lineRule="exact"/>
        <w:ind w:firstLine="480" w:firstLineChars="200"/>
        <w:jc w:val="both"/>
        <w:rPr>
          <w:sz w:val="24"/>
          <w:szCs w:val="24"/>
          <w:lang w:eastAsia="zh-CN"/>
        </w:rPr>
      </w:pPr>
      <w:r>
        <w:rPr>
          <w:rFonts w:hint="eastAsia"/>
          <w:color w:val="000000" w:themeColor="text1"/>
          <w:sz w:val="24"/>
          <w:szCs w:val="24"/>
          <w:lang w:eastAsia="zh-CN"/>
        </w:rPr>
        <w:t>邮    编：363216</w:t>
      </w:r>
    </w:p>
    <w:p>
      <w:pPr>
        <w:spacing w:line="600" w:lineRule="exact"/>
        <w:ind w:firstLine="480" w:firstLineChars="200"/>
        <w:jc w:val="both"/>
        <w:rPr>
          <w:sz w:val="24"/>
          <w:szCs w:val="24"/>
          <w:lang w:eastAsia="zh-CN"/>
        </w:rPr>
      </w:pPr>
      <w:r>
        <w:rPr>
          <w:rFonts w:hint="eastAsia"/>
          <w:sz w:val="24"/>
          <w:szCs w:val="24"/>
          <w:lang w:eastAsia="zh-CN"/>
        </w:rPr>
        <w:t xml:space="preserve">                                           福建福海创石油化工有限公司 </w:t>
      </w:r>
    </w:p>
    <w:p>
      <w:pPr>
        <w:spacing w:line="600" w:lineRule="exact"/>
        <w:ind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2年9月</w:t>
      </w:r>
      <w:r>
        <w:rPr>
          <w:rFonts w:hint="eastAsia"/>
          <w:color w:val="000000" w:themeColor="text1"/>
          <w:sz w:val="24"/>
          <w:szCs w:val="24"/>
          <w:lang w:val="en-US" w:eastAsia="zh-CN"/>
        </w:rPr>
        <w:t>21</w:t>
      </w:r>
      <w:r>
        <w:rPr>
          <w:rFonts w:hint="eastAsia"/>
          <w:color w:val="000000" w:themeColor="text1"/>
          <w:sz w:val="24"/>
          <w:szCs w:val="24"/>
          <w:lang w:eastAsia="zh-CN"/>
        </w:rPr>
        <w:t>日</w:t>
      </w:r>
    </w:p>
    <w:p>
      <w:pPr>
        <w:pStyle w:val="2"/>
        <w:spacing w:line="600" w:lineRule="exact"/>
        <w:ind w:firstLine="680" w:firstLineChars="200"/>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lang w:eastAsia="zh-CN"/>
        </w:rPr>
        <w:t>福建福海创石油化工有限公司PTA海水泵站电解R8012-1电解槽更新项目。</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p>
    <w:p>
      <w:pPr>
        <w:pStyle w:val="20"/>
        <w:spacing w:line="360" w:lineRule="auto"/>
        <w:ind w:right="121"/>
        <w:jc w:val="both"/>
        <w:rPr>
          <w:lang w:eastAsia="zh-CN"/>
        </w:rPr>
      </w:pPr>
      <w:r>
        <w:rPr>
          <w:rFonts w:hint="eastAsia"/>
          <w:lang w:eastAsia="zh-CN"/>
        </w:rPr>
        <w:t xml:space="preserve">    6.项目联系人</w:t>
      </w:r>
    </w:p>
    <w:p>
      <w:pPr>
        <w:spacing w:line="360" w:lineRule="auto"/>
        <w:ind w:firstLine="440"/>
        <w:rPr>
          <w:lang w:eastAsia="zh-CN"/>
        </w:rPr>
      </w:pPr>
      <w:r>
        <w:rPr>
          <w:rFonts w:hint="eastAsia"/>
          <w:sz w:val="24"/>
          <w:szCs w:val="24"/>
          <w:lang w:eastAsia="zh-CN"/>
        </w:rPr>
        <w:t>技术联系人: 张  宁 15860461975，nzhang@fhcpec.com.cn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lang w:eastAsia="zh-CN"/>
        </w:rPr>
        <w:t>徐明兴</w:t>
      </w:r>
      <w:r>
        <w:rPr>
          <w:rFonts w:hint="eastAsia"/>
          <w:lang w:eastAsia="zh-CN"/>
        </w:rPr>
        <w:t xml:space="preserve"> 13779967252，xumx@fhcpec.com.cn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tabs>
          <w:tab w:val="left" w:pos="709"/>
        </w:tabs>
        <w:spacing w:line="360" w:lineRule="auto"/>
        <w:ind w:firstLine="534" w:firstLineChars="200"/>
        <w:rPr>
          <w:b/>
          <w:w w:val="95"/>
          <w:sz w:val="28"/>
          <w:lang w:eastAsia="zh-CN"/>
        </w:rPr>
      </w:pPr>
      <w:r>
        <w:rPr>
          <w:b/>
          <w:w w:val="95"/>
          <w:sz w:val="28"/>
          <w:lang w:eastAsia="zh-CN"/>
        </w:rPr>
        <w:t>六、</w:t>
      </w:r>
      <w:r>
        <w:rPr>
          <w:rFonts w:hint="eastAsia"/>
          <w:b/>
          <w:w w:val="95"/>
          <w:sz w:val="28"/>
          <w:lang w:eastAsia="zh-CN"/>
        </w:rPr>
        <w:t>参选人资格要求及供货周期要求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6"/>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rPr>
          <w:rFonts w:ascii="Calibri" w:hAnsi="Calibri" w:cs="Times New Roman"/>
          <w:color w:val="000000" w:themeColor="text1"/>
          <w:kern w:val="2"/>
          <w:sz w:val="24"/>
          <w:szCs w:val="24"/>
          <w:lang w:eastAsia="zh-CN"/>
        </w:rPr>
      </w:pPr>
      <w:r>
        <w:rPr>
          <w:rFonts w:hint="eastAsia"/>
          <w:color w:val="000000" w:themeColor="text1"/>
          <w:sz w:val="24"/>
          <w:szCs w:val="24"/>
          <w:lang w:eastAsia="zh-CN"/>
        </w:rPr>
        <w:t>3</w:t>
      </w:r>
      <w:r>
        <w:rPr>
          <w:rFonts w:hint="eastAsia" w:ascii="Calibri" w:hAnsi="Calibri" w:cs="Times New Roman"/>
          <w:color w:val="000000" w:themeColor="text1"/>
          <w:kern w:val="2"/>
          <w:sz w:val="24"/>
          <w:szCs w:val="24"/>
          <w:lang w:eastAsia="zh-CN"/>
        </w:rPr>
        <w:t>.</w:t>
      </w:r>
      <w:r>
        <w:rPr>
          <w:rFonts w:hint="eastAsia" w:asciiTheme="minorEastAsia" w:hAnsiTheme="minorEastAsia" w:eastAsiaTheme="minorEastAsia"/>
          <w:bCs/>
          <w:sz w:val="24"/>
          <w:lang w:eastAsia="zh-CN"/>
        </w:rPr>
        <w:t>具有电解海水次氯酸钠发生装置或电解槽电极的生产制造资质，提供资质证明和近几年业绩情况；</w:t>
      </w:r>
    </w:p>
    <w:p>
      <w:pPr>
        <w:pStyle w:val="20"/>
        <w:spacing w:line="360" w:lineRule="auto"/>
        <w:ind w:left="480" w:leftChars="218" w:right="121"/>
        <w:jc w:val="both"/>
        <w:rPr>
          <w:b/>
          <w:w w:val="95"/>
          <w:sz w:val="28"/>
          <w:lang w:eastAsia="zh-CN"/>
        </w:rPr>
      </w:pPr>
      <w:r>
        <w:rPr>
          <w:rFonts w:hint="eastAsia"/>
          <w:color w:val="000000" w:themeColor="text1"/>
          <w:lang w:eastAsia="zh-CN"/>
        </w:rPr>
        <w:t>4.</w:t>
      </w:r>
      <w:r>
        <w:rPr>
          <w:rFonts w:hint="eastAsia" w:asciiTheme="minorEastAsia" w:hAnsiTheme="minorEastAsia" w:eastAsiaTheme="minorEastAsia"/>
          <w:bCs/>
          <w:lang w:eastAsia="zh-CN"/>
        </w:rPr>
        <w:t>供货周期要求为合同生效之日起算，供货时间：T+60天(合同签订完成定为T)。</w:t>
      </w: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金额30000元整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0"/>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lang w:eastAsia="zh-CN"/>
        </w:rPr>
        <w:t>PTA海水泵站电解R8012-1电解槽更新项目</w:t>
      </w:r>
      <w:r>
        <w:rPr>
          <w:rFonts w:hint="eastAsia"/>
          <w:color w:val="000000" w:themeColor="text1"/>
          <w:lang w:eastAsia="zh-CN"/>
        </w:rPr>
        <w:t>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firstLine="480"/>
        <w:jc w:val="both"/>
        <w:rPr>
          <w:color w:val="000000" w:themeColor="text1"/>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徐明兴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13779967252。</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本项目设置最高控制价150万元整（含税包干总价）</w:t>
      </w:r>
      <w:r>
        <w:rPr>
          <w:rFonts w:hint="eastAsia"/>
          <w:lang w:eastAsia="zh-CN"/>
        </w:rPr>
        <w:t>。参选人所填报的报价高于本项目最高限价的，其参选比选小组有权予以否决。</w:t>
      </w:r>
      <w:r>
        <w:fldChar w:fldCharType="begin"/>
      </w:r>
      <w:r>
        <w:instrText xml:space="preserve"> HYPERLINK "mailto:如参选人对控制价存疑请于报价截止前发邮件至xqyang@fhcpec.com.cn" </w:instrText>
      </w:r>
      <w:r>
        <w:fldChar w:fldCharType="separate"/>
      </w:r>
      <w:r>
        <w:rPr>
          <w:rStyle w:val="56"/>
          <w:rFonts w:hint="eastAsia"/>
          <w:lang w:eastAsia="zh-CN"/>
        </w:rPr>
        <w:t>如参选人对控制价存疑请于报价截止前发邮件至xumx@fhcpec.com.cn</w:t>
      </w:r>
      <w:r>
        <w:rPr>
          <w:rStyle w:val="56"/>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sz w:val="24"/>
          <w:szCs w:val="24"/>
          <w:lang w:eastAsia="zh-CN"/>
        </w:rPr>
        <w:t>未税总价最低者作为第一中选人，以此类推</w:t>
      </w:r>
      <w:r>
        <w:rPr>
          <w:rFonts w:hint="eastAsia"/>
          <w:color w:val="000000"/>
          <w:sz w:val="24"/>
          <w:szCs w:val="24"/>
          <w:shd w:val="clear" w:color="auto" w:fill="FFFFFF"/>
          <w:lang w:eastAsia="zh-CN"/>
        </w:rPr>
        <w:t>。</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翔鹭石化（漳州）有限公司”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ascii="Times New Roman"/>
          <w:b/>
          <w:bCs/>
          <w:lang w:eastAsia="zh-CN"/>
        </w:rPr>
      </w:pPr>
      <w:r>
        <w:rPr>
          <w:rFonts w:hint="eastAsia" w:ascii="Times New Roman"/>
          <w:b/>
          <w:bCs/>
          <w:lang w:eastAsia="zh-CN"/>
        </w:rPr>
        <w:t>附件一、合同</w:t>
      </w:r>
      <w:bookmarkStart w:id="0" w:name="_Toc251742852"/>
      <w:r>
        <w:rPr>
          <w:rFonts w:hint="eastAsia" w:ascii="Times New Roman"/>
          <w:b/>
          <w:bCs/>
          <w:lang w:eastAsia="zh-CN"/>
        </w:rPr>
        <w:t>条款</w:t>
      </w: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jc w:val="center"/>
        <w:rPr>
          <w:b/>
          <w:sz w:val="44"/>
          <w:szCs w:val="44"/>
          <w:lang w:eastAsia="zh-CN"/>
        </w:rPr>
      </w:pPr>
      <w:bookmarkStart w:id="1" w:name="_Toc23434"/>
      <w:bookmarkStart w:id="2" w:name="_Toc17959"/>
      <w:bookmarkStart w:id="3" w:name="_Toc14171"/>
      <w:bookmarkStart w:id="4" w:name="_Toc20180"/>
      <w:bookmarkStart w:id="5" w:name="_Toc8520"/>
      <w:bookmarkStart w:id="6" w:name="_Toc31173"/>
      <w:bookmarkStart w:id="7" w:name="_Toc10991"/>
      <w:bookmarkStart w:id="8" w:name="_Toc4114"/>
      <w:bookmarkStart w:id="9" w:name="_Toc20273"/>
      <w:bookmarkStart w:id="10" w:name="_Toc385779252"/>
      <w:bookmarkStart w:id="11" w:name="_Toc352146655"/>
      <w:bookmarkStart w:id="12" w:name="_Toc31402"/>
      <w:bookmarkStart w:id="13" w:name="_Toc2239"/>
      <w:bookmarkStart w:id="14" w:name="_Toc18049"/>
      <w:bookmarkStart w:id="15" w:name="_Toc27787"/>
      <w:r>
        <w:rPr>
          <w:rFonts w:hint="eastAsia"/>
          <w:b/>
          <w:sz w:val="44"/>
          <w:szCs w:val="44"/>
          <w:lang w:eastAsia="zh-CN"/>
        </w:rPr>
        <w:t>翔鹭石化（漳州）有限公司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jc w:val="center"/>
        <w:rPr>
          <w:b/>
          <w:sz w:val="44"/>
          <w:szCs w:val="44"/>
          <w:lang w:eastAsia="zh-CN"/>
        </w:rPr>
      </w:pPr>
      <w:r>
        <w:rPr>
          <w:rFonts w:hint="eastAsia"/>
          <w:b/>
          <w:sz w:val="44"/>
          <w:szCs w:val="44"/>
          <w:lang w:eastAsia="zh-CN"/>
        </w:rPr>
        <w:t>PTA海水泵站电解R8012-1电解槽更新项目</w:t>
      </w:r>
    </w:p>
    <w:p>
      <w:pPr>
        <w:jc w:val="center"/>
        <w:rPr>
          <w:b/>
          <w:sz w:val="44"/>
          <w:szCs w:val="44"/>
          <w:lang w:eastAsia="zh-CN"/>
        </w:rPr>
      </w:pPr>
      <w:r>
        <w:rPr>
          <w:rFonts w:hint="eastAsia"/>
          <w:b/>
          <w:sz w:val="44"/>
          <w:szCs w:val="44"/>
          <w:lang w:eastAsia="zh-CN"/>
        </w:rPr>
        <w:t>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        )</w:t>
      </w: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甲方：翔鹭石化（漳州）有限公司</w:t>
      </w:r>
    </w:p>
    <w:p>
      <w:pPr>
        <w:ind w:firstLine="960" w:firstLineChars="300"/>
        <w:rPr>
          <w:sz w:val="32"/>
          <w:szCs w:val="32"/>
          <w:lang w:eastAsia="zh-CN"/>
        </w:rPr>
      </w:pPr>
      <w:r>
        <w:rPr>
          <w:rFonts w:hint="eastAsia"/>
          <w:sz w:val="32"/>
          <w:szCs w:val="32"/>
          <w:lang w:eastAsia="zh-CN"/>
        </w:rPr>
        <w:t>乙方：</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eastAsia="zh-CN"/>
        </w:rPr>
        <w:t>2年  月 日</w:t>
      </w:r>
    </w:p>
    <w:p>
      <w:pPr>
        <w:spacing w:line="360" w:lineRule="auto"/>
        <w:rPr>
          <w:sz w:val="24"/>
          <w:lang w:eastAsia="zh-CN"/>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tbl>
      <w:tblPr>
        <w:tblStyle w:val="48"/>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74"/>
        <w:gridCol w:w="2426"/>
        <w:gridCol w:w="851"/>
        <w:gridCol w:w="943"/>
        <w:gridCol w:w="1080"/>
        <w:gridCol w:w="1064"/>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widowControl/>
              <w:autoSpaceDE/>
              <w:autoSpaceDN/>
              <w:jc w:val="center"/>
              <w:rPr>
                <w:lang w:eastAsia="zh-CN"/>
              </w:rPr>
            </w:pPr>
            <w:r>
              <w:rPr>
                <w:lang w:eastAsia="zh-CN"/>
              </w:rPr>
              <w:t>序号</w:t>
            </w:r>
          </w:p>
        </w:tc>
        <w:tc>
          <w:tcPr>
            <w:tcW w:w="1374" w:type="dxa"/>
            <w:vAlign w:val="center"/>
          </w:tcPr>
          <w:p>
            <w:pPr>
              <w:widowControl/>
              <w:autoSpaceDE/>
              <w:autoSpaceDN/>
              <w:jc w:val="center"/>
              <w:rPr>
                <w:lang w:eastAsia="zh-CN"/>
              </w:rPr>
            </w:pPr>
            <w:r>
              <w:rPr>
                <w:lang w:eastAsia="zh-CN"/>
              </w:rPr>
              <w:t>物品名称</w:t>
            </w:r>
          </w:p>
        </w:tc>
        <w:tc>
          <w:tcPr>
            <w:tcW w:w="2426" w:type="dxa"/>
            <w:vAlign w:val="center"/>
          </w:tcPr>
          <w:p>
            <w:pPr>
              <w:widowControl/>
              <w:autoSpaceDE/>
              <w:autoSpaceDN/>
              <w:jc w:val="center"/>
              <w:rPr>
                <w:lang w:eastAsia="zh-CN"/>
              </w:rPr>
            </w:pPr>
            <w:r>
              <w:rPr>
                <w:lang w:eastAsia="zh-CN"/>
              </w:rPr>
              <w:t>规格</w:t>
            </w:r>
            <w:r>
              <w:rPr>
                <w:rFonts w:hint="eastAsia"/>
                <w:lang w:eastAsia="zh-CN"/>
              </w:rPr>
              <w:t>/型号</w:t>
            </w:r>
          </w:p>
        </w:tc>
        <w:tc>
          <w:tcPr>
            <w:tcW w:w="851" w:type="dxa"/>
            <w:vAlign w:val="center"/>
          </w:tcPr>
          <w:p>
            <w:pPr>
              <w:widowControl/>
              <w:autoSpaceDE/>
              <w:autoSpaceDN/>
              <w:jc w:val="center"/>
              <w:rPr>
                <w:lang w:eastAsia="zh-CN"/>
              </w:rPr>
            </w:pPr>
            <w:r>
              <w:rPr>
                <w:lang w:eastAsia="zh-CN"/>
              </w:rPr>
              <w:t>数量</w:t>
            </w:r>
          </w:p>
        </w:tc>
        <w:tc>
          <w:tcPr>
            <w:tcW w:w="943" w:type="dxa"/>
            <w:vAlign w:val="center"/>
          </w:tcPr>
          <w:p>
            <w:pPr>
              <w:widowControl/>
              <w:autoSpaceDE/>
              <w:autoSpaceDN/>
              <w:jc w:val="center"/>
              <w:rPr>
                <w:lang w:eastAsia="zh-CN"/>
              </w:rPr>
            </w:pPr>
            <w:r>
              <w:rPr>
                <w:rFonts w:hint="eastAsia"/>
                <w:lang w:eastAsia="zh-CN"/>
              </w:rPr>
              <w:t>单位</w:t>
            </w:r>
          </w:p>
        </w:tc>
        <w:tc>
          <w:tcPr>
            <w:tcW w:w="1080" w:type="dxa"/>
            <w:vAlign w:val="center"/>
          </w:tcPr>
          <w:p>
            <w:pPr>
              <w:widowControl/>
              <w:autoSpaceDE/>
              <w:autoSpaceDN/>
              <w:jc w:val="center"/>
              <w:rPr>
                <w:lang w:eastAsia="zh-CN"/>
              </w:rPr>
            </w:pPr>
            <w:r>
              <w:rPr>
                <w:lang w:eastAsia="zh-CN"/>
              </w:rPr>
              <w:t>单价</w:t>
            </w:r>
            <w:r>
              <w:rPr>
                <w:rFonts w:hint="eastAsia"/>
                <w:lang w:eastAsia="zh-CN"/>
              </w:rPr>
              <w:t>(元）</w:t>
            </w:r>
          </w:p>
        </w:tc>
        <w:tc>
          <w:tcPr>
            <w:tcW w:w="1064" w:type="dxa"/>
            <w:vAlign w:val="center"/>
          </w:tcPr>
          <w:p>
            <w:pPr>
              <w:widowControl/>
              <w:autoSpaceDE/>
              <w:autoSpaceDN/>
              <w:jc w:val="center"/>
              <w:rPr>
                <w:lang w:eastAsia="zh-CN"/>
              </w:rPr>
            </w:pPr>
            <w:r>
              <w:rPr>
                <w:lang w:eastAsia="zh-CN"/>
              </w:rPr>
              <w:t>总价</w:t>
            </w:r>
            <w:r>
              <w:rPr>
                <w:rFonts w:hint="eastAsia"/>
                <w:lang w:eastAsia="zh-CN"/>
              </w:rPr>
              <w:t>（元）</w:t>
            </w:r>
          </w:p>
        </w:tc>
        <w:tc>
          <w:tcPr>
            <w:tcW w:w="1381" w:type="dxa"/>
            <w:vAlign w:val="center"/>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585" w:type="dxa"/>
            <w:vAlign w:val="center"/>
          </w:tcPr>
          <w:p>
            <w:pPr>
              <w:widowControl/>
              <w:autoSpaceDE/>
              <w:autoSpaceDN/>
              <w:jc w:val="center"/>
              <w:rPr>
                <w:lang w:eastAsia="zh-CN"/>
              </w:rPr>
            </w:pPr>
            <w:r>
              <w:rPr>
                <w:rFonts w:hint="eastAsia"/>
                <w:lang w:eastAsia="zh-CN"/>
              </w:rPr>
              <w:t>1</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080" w:type="dxa"/>
            <w:vAlign w:val="center"/>
          </w:tcPr>
          <w:p>
            <w:pPr>
              <w:widowControl/>
              <w:autoSpaceDE/>
              <w:autoSpaceDN/>
              <w:jc w:val="center"/>
              <w:rPr>
                <w:lang w:eastAsia="zh-CN"/>
              </w:rPr>
            </w:pPr>
          </w:p>
        </w:tc>
        <w:tc>
          <w:tcPr>
            <w:tcW w:w="1064" w:type="dxa"/>
            <w:vAlign w:val="center"/>
          </w:tcPr>
          <w:p>
            <w:pPr>
              <w:widowControl/>
              <w:autoSpaceDE/>
              <w:autoSpaceDN/>
              <w:jc w:val="center"/>
              <w:rPr>
                <w:lang w:eastAsia="zh-CN"/>
              </w:rPr>
            </w:pPr>
          </w:p>
        </w:tc>
        <w:tc>
          <w:tcPr>
            <w:tcW w:w="1381" w:type="dxa"/>
            <w:vAlign w:val="center"/>
          </w:tcPr>
          <w:p>
            <w:pPr>
              <w:widowControl/>
              <w:autoSpaceDE/>
              <w:autoSpaceDN/>
              <w:jc w:val="center"/>
              <w:rPr>
                <w:lang w:eastAsia="zh-CN"/>
              </w:rPr>
            </w:pPr>
            <w:r>
              <w:rPr>
                <w:rFonts w:hint="eastAsia" w:asciiTheme="minorEastAsia" w:hAnsiTheme="minorEastAsia" w:eastAsiaTheme="minorEastAsia"/>
                <w:bCs/>
                <w:sz w:val="24"/>
              </w:rPr>
              <w:t>指导安装、调试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59" w:type="dxa"/>
            <w:gridSpan w:val="6"/>
            <w:vAlign w:val="center"/>
          </w:tcPr>
          <w:p>
            <w:pPr>
              <w:widowControl/>
              <w:autoSpaceDE/>
              <w:autoSpaceDN/>
              <w:jc w:val="center"/>
              <w:rPr>
                <w:lang w:eastAsia="zh-CN"/>
              </w:rPr>
            </w:pPr>
            <w:r>
              <w:rPr>
                <w:lang w:eastAsia="zh-CN"/>
              </w:rPr>
              <w:t>合计</w:t>
            </w:r>
            <w:r>
              <w:rPr>
                <w:rFonts w:hint="eastAsia"/>
                <w:lang w:eastAsia="zh-CN"/>
              </w:rPr>
              <w:t>：</w:t>
            </w:r>
          </w:p>
        </w:tc>
        <w:tc>
          <w:tcPr>
            <w:tcW w:w="2445" w:type="dxa"/>
            <w:gridSpan w:val="2"/>
            <w:vAlign w:val="center"/>
          </w:tcPr>
          <w:p>
            <w:pPr>
              <w:widowControl/>
              <w:autoSpaceDE/>
              <w:autoSpaceDN/>
              <w:jc w:val="center"/>
              <w:rPr>
                <w:lang w:eastAsia="zh-CN"/>
              </w:rPr>
            </w:pPr>
            <w:r>
              <w:rPr>
                <w:lang w:eastAsia="zh-CN"/>
              </w:rPr>
              <w:t>(含</w:t>
            </w:r>
            <w:r>
              <w:rPr>
                <w:rFonts w:hint="eastAsia"/>
                <w:lang w:eastAsia="zh-CN"/>
              </w:rPr>
              <w:t xml:space="preserve">  %</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u w:val="single"/>
          <w:lang w:eastAsia="zh-CN"/>
        </w:rPr>
        <w:t>。</w:t>
      </w:r>
      <w:r>
        <w:rPr>
          <w:rFonts w:hint="eastAsia"/>
          <w:sz w:val="24"/>
          <w:lang w:eastAsia="zh-CN"/>
        </w:rPr>
        <w:t>（以甲方提供的送货清单和地址明细为准）</w:t>
      </w:r>
    </w:p>
    <w:p>
      <w:pPr>
        <w:pStyle w:val="206"/>
        <w:spacing w:line="360" w:lineRule="auto"/>
        <w:ind w:firstLine="480"/>
        <w:rPr>
          <w:rFonts w:ascii="宋体" w:hAnsi="宋体" w:cs="宋体"/>
          <w:kern w:val="0"/>
          <w:sz w:val="24"/>
        </w:rPr>
      </w:pPr>
      <w:r>
        <w:rPr>
          <w:rFonts w:hint="eastAsia" w:ascii="宋体" w:hAnsi="宋体" w:cs="宋体"/>
          <w:kern w:val="0"/>
          <w:sz w:val="24"/>
        </w:rPr>
        <w:t xml:space="preserve">2.3交货时间：乙方应在合同签订生效后 </w:t>
      </w:r>
      <w:r>
        <w:rPr>
          <w:rFonts w:hint="eastAsia" w:ascii="宋体" w:hAnsi="宋体" w:cs="宋体"/>
          <w:kern w:val="0"/>
          <w:sz w:val="24"/>
          <w:u w:val="single"/>
        </w:rPr>
        <w:t xml:space="preserve">  </w:t>
      </w:r>
      <w:r>
        <w:rPr>
          <w:rFonts w:hint="eastAsia" w:ascii="宋体" w:hAnsi="宋体" w:cs="宋体"/>
          <w:kern w:val="0"/>
          <w:sz w:val="24"/>
        </w:rPr>
        <w:t>日内将合同全部货物交付至甲方。现场收货、验收及发票接收联系人：                                    。</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3.1验收款：到货后，甲方依据本合同约定的质量、数量标准及双方签订的技术协议要求验收合格后，乙方提供合同总额的税率为</w:t>
      </w:r>
      <w:r>
        <w:rPr>
          <w:rFonts w:hint="eastAsia"/>
          <w:sz w:val="24"/>
          <w:u w:val="single"/>
          <w:lang w:eastAsia="zh-CN"/>
        </w:rPr>
        <w:t xml:space="preserve">  </w:t>
      </w:r>
      <w:r>
        <w:rPr>
          <w:rFonts w:hint="eastAsia"/>
          <w:sz w:val="24"/>
          <w:lang w:eastAsia="zh-CN"/>
        </w:rPr>
        <w:t>% 的增值税专用发票以及结算所需的各类清单，甲方收到并确认无误后支付90%的货款（即人民币</w:t>
      </w:r>
      <w:r>
        <w:rPr>
          <w:rFonts w:hint="eastAsia"/>
          <w:sz w:val="24"/>
          <w:u w:val="single"/>
          <w:lang w:eastAsia="zh-CN"/>
        </w:rPr>
        <w:t xml:space="preserve">    </w:t>
      </w:r>
      <w:r>
        <w:rPr>
          <w:rFonts w:hint="eastAsia"/>
          <w:sz w:val="24"/>
          <w:lang w:eastAsia="zh-CN"/>
        </w:rPr>
        <w:t>元）；余款10%为质保金，货物验收合格且无质量问题从验收合格之日起</w:t>
      </w:r>
      <w:r>
        <w:rPr>
          <w:rFonts w:hint="eastAsia"/>
          <w:sz w:val="24"/>
          <w:u w:val="single"/>
          <w:lang w:eastAsia="zh-CN"/>
        </w:rPr>
        <w:t xml:space="preserve">         </w:t>
      </w:r>
      <w:r>
        <w:rPr>
          <w:rFonts w:hint="eastAsia"/>
          <w:sz w:val="24"/>
          <w:lang w:eastAsia="zh-CN"/>
        </w:rPr>
        <w:t>月。</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符合甲方要求，如产品不符合本合同及技术协议中约定的要求，甲方有权拒绝接受。</w:t>
      </w:r>
    </w:p>
    <w:p>
      <w:pPr>
        <w:pStyle w:val="256"/>
        <w:snapToGrid w:val="0"/>
        <w:spacing w:line="460" w:lineRule="exact"/>
        <w:rPr>
          <w:rFonts w:ascii="宋体" w:hAnsi="宋体"/>
          <w:sz w:val="24"/>
          <w:szCs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内，重要零件因设计和制造质量问题等非甲方原因损坏的，乙方负责免费更换。更换后机械保证自更换之日起</w:t>
      </w:r>
      <w:r>
        <w:rPr>
          <w:rFonts w:hint="eastAsia"/>
          <w:sz w:val="24"/>
          <w:lang w:val="en-US" w:eastAsia="zh-CN"/>
        </w:rPr>
        <w:t xml:space="preserve">           </w:t>
      </w:r>
      <w:r>
        <w:rPr>
          <w:rFonts w:hint="eastAsia"/>
          <w:sz w:val="24"/>
        </w:rPr>
        <w:t xml:space="preserve"> 内有效。在此期间因发生制造质量问题或其他设备故障的，乙方免费予以修理，乙方应在</w:t>
      </w:r>
      <w:r>
        <w:rPr>
          <w:sz w:val="24"/>
        </w:rPr>
        <w:t>2</w:t>
      </w:r>
      <w:r>
        <w:rPr>
          <w:rFonts w:hint="eastAsia"/>
          <w:sz w:val="24"/>
        </w:rPr>
        <w:t>小时内给予答复，</w:t>
      </w:r>
      <w:r>
        <w:rPr>
          <w:sz w:val="24"/>
        </w:rPr>
        <w:t>24</w:t>
      </w:r>
      <w:r>
        <w:rPr>
          <w:rFonts w:hint="eastAsia"/>
          <w:sz w:val="24"/>
        </w:rPr>
        <w:t>小时内赶至现场无偿解决，直至问题消除。</w:t>
      </w:r>
      <w:r>
        <w:rPr>
          <w:rFonts w:ascii="宋体" w:hAnsi="宋体"/>
          <w:sz w:val="24"/>
          <w:szCs w:val="24"/>
        </w:rPr>
        <w:t>在保修期内乙方拒不修理</w:t>
      </w:r>
      <w:r>
        <w:rPr>
          <w:rFonts w:hint="eastAsia" w:ascii="宋体" w:hAnsi="宋体"/>
          <w:sz w:val="24"/>
          <w:szCs w:val="24"/>
        </w:rPr>
        <w:t>或情况紧急</w:t>
      </w:r>
      <w:r>
        <w:rPr>
          <w:rFonts w:ascii="宋体" w:hAnsi="宋体"/>
          <w:sz w:val="24"/>
          <w:szCs w:val="24"/>
        </w:rPr>
        <w:t>时，甲方可用乙方的预留质保金请他人维修，不足部分，乙方需另行支付。</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具体要求以《双方签定的技术协议为准》。</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安装调试指导：</w:t>
      </w:r>
      <w:r>
        <w:rPr>
          <w:sz w:val="24"/>
          <w:u w:val="single"/>
          <w:lang w:eastAsia="zh-CN"/>
        </w:rPr>
        <w:t xml:space="preserve">   </w:t>
      </w:r>
      <w:r>
        <w:rPr>
          <w:rFonts w:hint="eastAsia"/>
          <w:sz w:val="24"/>
          <w:u w:val="single"/>
          <w:lang w:eastAsia="zh-CN"/>
        </w:rPr>
        <w:t>见《技术协议》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见《技术协议》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6.4对于安装质量，乙方保证标准时、正确安装好设备，保证设备良好运行。产品调试验收的标准：按照附件双方签定的技术协议的验收标准执行。</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pPr>
      <w:r>
        <w:rPr>
          <w:rFonts w:hint="eastAsia"/>
          <w:sz w:val="24"/>
        </w:rPr>
        <w:t xml:space="preserve">    6.6其他验收条件详见技术协议。</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除本合同另有约定外，本合同产品售后服务按厂家标准提供有关质量保证和售后服务的承诺执行，国家有规定的按国家规定执行。其余质量保证详见技术协议。</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rFonts w:hint="eastAsia"/>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元，并应根据甲方要求进行修理、更换或采取其他补救措施，如因此造成甲方其他损失的，乙方应承担赔偿责任。累计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次验收不合格的，甲方还有权解除合同、拒绝支付任何费用，并要求乙方支付合同总价20%的违约金，违约金不足以弥补甲方损失的，甲方有权追偿。</w:t>
      </w:r>
    </w:p>
    <w:p>
      <w:pPr>
        <w:pStyle w:val="256"/>
        <w:snapToGrid w:val="0"/>
        <w:spacing w:line="460" w:lineRule="exact"/>
        <w:rPr>
          <w:rFonts w:ascii="宋体" w:hAnsi="宋体"/>
          <w:sz w:val="24"/>
          <w:szCs w:val="24"/>
        </w:rPr>
      </w:pPr>
      <w:r>
        <w:rPr>
          <w:rFonts w:hint="eastAsia"/>
        </w:rPr>
        <w:t xml:space="preserve"> </w:t>
      </w:r>
      <w:r>
        <w:rPr>
          <w:rFonts w:hint="eastAsia"/>
          <w:sz w:val="24"/>
        </w:rPr>
        <w:t xml:space="preserve"> 8.3</w:t>
      </w:r>
      <w:r>
        <w:rPr>
          <w:rFonts w:ascii="宋体" w:hAnsi="宋体"/>
          <w:sz w:val="24"/>
          <w:szCs w:val="24"/>
        </w:rPr>
        <w:t>如果由于乙方技术</w:t>
      </w:r>
      <w:r>
        <w:rPr>
          <w:rFonts w:hint="eastAsia" w:ascii="宋体" w:hAnsi="宋体"/>
          <w:sz w:val="24"/>
          <w:szCs w:val="24"/>
        </w:rPr>
        <w:t>指导</w:t>
      </w:r>
      <w:r>
        <w:rPr>
          <w:rFonts w:ascii="宋体" w:hAnsi="宋体"/>
          <w:sz w:val="24"/>
          <w:szCs w:val="24"/>
        </w:rPr>
        <w:t>服务造成延误</w:t>
      </w:r>
      <w:r>
        <w:rPr>
          <w:rFonts w:hint="eastAsia" w:ascii="宋体" w:hAnsi="宋体"/>
          <w:sz w:val="24"/>
          <w:szCs w:val="24"/>
        </w:rPr>
        <w:t>的</w:t>
      </w:r>
      <w:r>
        <w:rPr>
          <w:rFonts w:ascii="宋体" w:hAnsi="宋体"/>
          <w:sz w:val="24"/>
          <w:szCs w:val="24"/>
        </w:rPr>
        <w:t>，每延误工期一</w:t>
      </w:r>
      <w:r>
        <w:rPr>
          <w:rFonts w:hint="eastAsia" w:ascii="宋体" w:hAnsi="宋体"/>
          <w:sz w:val="24"/>
          <w:szCs w:val="24"/>
        </w:rPr>
        <w:t>天</w:t>
      </w:r>
      <w:r>
        <w:rPr>
          <w:rFonts w:ascii="宋体" w:hAnsi="宋体"/>
          <w:sz w:val="24"/>
          <w:szCs w:val="24"/>
        </w:rPr>
        <w:t>乙方将向甲方支付总价的0.</w:t>
      </w:r>
      <w:r>
        <w:rPr>
          <w:rFonts w:hint="eastAsia" w:ascii="宋体" w:hAnsi="宋体"/>
          <w:sz w:val="24"/>
          <w:szCs w:val="24"/>
        </w:rPr>
        <w:t>3</w:t>
      </w:r>
      <w:r>
        <w:rPr>
          <w:rFonts w:ascii="宋体" w:hAnsi="宋体"/>
          <w:sz w:val="24"/>
          <w:szCs w:val="24"/>
        </w:rPr>
        <w:t>%违约金，</w:t>
      </w:r>
      <w:r>
        <w:rPr>
          <w:rFonts w:hint="eastAsia" w:ascii="宋体" w:hAnsi="宋体"/>
          <w:sz w:val="24"/>
          <w:szCs w:val="24"/>
        </w:rPr>
        <w:t>，</w:t>
      </w:r>
      <w:r>
        <w:rPr>
          <w:rFonts w:ascii="宋体" w:hAnsi="宋体"/>
          <w:sz w:val="24"/>
          <w:szCs w:val="24"/>
        </w:rPr>
        <w:t>且乙方需支付由于乙方技术服务错误或违约</w:t>
      </w:r>
      <w:r>
        <w:rPr>
          <w:rFonts w:hint="eastAsia" w:ascii="宋体" w:hAnsi="宋体"/>
          <w:sz w:val="24"/>
          <w:szCs w:val="24"/>
        </w:rPr>
        <w:t>等</w:t>
      </w:r>
      <w:r>
        <w:rPr>
          <w:rFonts w:ascii="宋体" w:hAnsi="宋体"/>
          <w:sz w:val="24"/>
          <w:szCs w:val="24"/>
        </w:rPr>
        <w:t>造成甲方的直接损失。</w:t>
      </w:r>
    </w:p>
    <w:p>
      <w:pPr>
        <w:spacing w:line="360" w:lineRule="auto"/>
        <w:rPr>
          <w:lang w:eastAsia="zh-CN"/>
        </w:rPr>
      </w:pPr>
    </w:p>
    <w:p>
      <w:pPr>
        <w:spacing w:line="360" w:lineRule="auto"/>
        <w:rPr>
          <w:sz w:val="24"/>
          <w:lang w:eastAsia="zh-CN"/>
        </w:rPr>
      </w:pPr>
      <w:r>
        <w:rPr>
          <w:rFonts w:hint="eastAsia"/>
          <w:sz w:val="24"/>
          <w:lang w:eastAsia="zh-CN"/>
        </w:rPr>
        <w:t xml:space="preserve">   8.4</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8.5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8"/>
        <w:snapToGrid w:val="0"/>
        <w:spacing w:line="360" w:lineRule="auto"/>
        <w:jc w:val="both"/>
        <w:rPr>
          <w:rFonts w:hAnsi="宋体"/>
          <w:color w:val="auto"/>
          <w:szCs w:val="22"/>
        </w:rPr>
      </w:pPr>
      <w:r>
        <w:t>附件</w:t>
      </w:r>
      <w:r>
        <w:rPr>
          <w:rFonts w:hint="eastAsia"/>
        </w:rPr>
        <w:t>1</w:t>
      </w:r>
      <w:r>
        <w:t>、</w:t>
      </w:r>
    </w:p>
    <w:p>
      <w:pPr>
        <w:pStyle w:val="78"/>
        <w:snapToGrid w:val="0"/>
        <w:spacing w:line="360" w:lineRule="auto"/>
        <w:jc w:val="both"/>
        <w:rPr>
          <w:rFonts w:hAnsi="宋体"/>
          <w:color w:val="auto"/>
          <w:szCs w:val="22"/>
        </w:rPr>
      </w:pPr>
      <w:r>
        <w:rPr>
          <w:rFonts w:hint="eastAsia" w:hAnsi="宋体"/>
          <w:color w:val="auto"/>
          <w:szCs w:val="22"/>
        </w:rPr>
        <w:t>附件2、</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eastAsia="zh-CN"/>
                    </w:rPr>
                    <w:t>翔鹭石化（漳州）有限公司</w:t>
                  </w:r>
                </w:p>
              </w:tc>
              <w:tc>
                <w:tcPr>
                  <w:tcW w:w="4951" w:type="dxa"/>
                  <w:vAlign w:val="center"/>
                </w:tcPr>
                <w:p>
                  <w:pPr>
                    <w:spacing w:afterLine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联系地址：漳州市古雷港经济开发区腾龙路84</w:t>
                  </w:r>
                  <w:r>
                    <w:rPr>
                      <w:rFonts w:asciiTheme="majorEastAsia" w:hAnsiTheme="majorEastAsia" w:eastAsiaTheme="majorEastAsia"/>
                      <w:sz w:val="21"/>
                      <w:szCs w:val="21"/>
                      <w:lang w:eastAsia="zh-CN"/>
                    </w:rPr>
                    <w:t>号</w:t>
                  </w:r>
                </w:p>
              </w:tc>
              <w:tc>
                <w:tcPr>
                  <w:tcW w:w="4951" w:type="dxa"/>
                  <w:vAlign w:val="center"/>
                </w:tcPr>
                <w:p>
                  <w:pPr>
                    <w:jc w:val="both"/>
                    <w:rPr>
                      <w:b/>
                      <w:bCs/>
                      <w:sz w:val="28"/>
                      <w:szCs w:val="28"/>
                      <w:lang w:eastAsia="zh-CN"/>
                    </w:rPr>
                  </w:pPr>
                  <w:r>
                    <w:rPr>
                      <w:rFonts w:hint="eastAsia" w:asciiTheme="majorEastAsia" w:hAnsiTheme="majorEastAsia" w:eastAsiaTheme="majorEastAsia"/>
                      <w:sz w:val="21"/>
                      <w:szCs w:val="21"/>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电子邮箱:xumx@fhcpec.com.cn</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eastAsia="zh-CN"/>
                    </w:rPr>
                    <w:t>徐明兴</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lang w:eastAsia="zh-CN"/>
                    </w:rPr>
                    <w:t>法人代表</w:t>
                  </w:r>
                  <w:r>
                    <w:rPr>
                      <w:rFonts w:hint="eastAsia" w:asciiTheme="majorEastAsia" w:hAnsiTheme="majorEastAsia" w:eastAsiaTheme="major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eastAsia="zh-CN"/>
                    </w:rPr>
                    <w:t>0596-6311078</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sz w:val="21"/>
                      <w:szCs w:val="21"/>
                      <w:lang w:eastAsia="zh-CN"/>
                    </w:rPr>
                  </w:pPr>
                  <w:r>
                    <w:rPr>
                      <w:rFonts w:hint="eastAsia" w:asciiTheme="majorEastAsia" w:hAnsiTheme="majorEastAsia" w:eastAsiaTheme="majorEastAsia"/>
                      <w:sz w:val="21"/>
                      <w:szCs w:val="21"/>
                    </w:rPr>
                    <w:t>账号：</w:t>
                  </w:r>
                  <w:r>
                    <w:rPr>
                      <w:rFonts w:hint="eastAsia"/>
                    </w:rPr>
                    <w:t>162070100100021</w:t>
                  </w:r>
                  <w:r>
                    <w:rPr>
                      <w:rFonts w:hint="eastAsia"/>
                      <w:lang w:eastAsia="zh-CN"/>
                    </w:rPr>
                    <w:t>071</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78"/>
        <w:snapToGrid w:val="0"/>
        <w:spacing w:line="360" w:lineRule="auto"/>
        <w:jc w:val="both"/>
        <w:rPr>
          <w:rFonts w:hAnsi="宋体"/>
          <w:color w:val="auto"/>
          <w:szCs w:val="22"/>
        </w:rPr>
      </w:pPr>
      <w:r>
        <w:t>附件</w:t>
      </w:r>
      <w:r>
        <w:rPr>
          <w:rFonts w:hint="eastAsia"/>
        </w:rPr>
        <w:t>1</w:t>
      </w:r>
      <w:r>
        <w:t>、</w:t>
      </w:r>
    </w:p>
    <w:p>
      <w:pPr>
        <w:spacing w:beforeLines="50" w:afterLines="50" w:line="400" w:lineRule="exact"/>
        <w:jc w:val="center"/>
        <w:rPr>
          <w:rFonts w:asciiTheme="minorEastAsia" w:hAnsiTheme="minorEastAsia" w:eastAsiaTheme="minorEastAsia"/>
          <w:b/>
          <w:bCs/>
          <w:sz w:val="36"/>
          <w:szCs w:val="36"/>
          <w:lang w:eastAsia="zh-CN"/>
        </w:rPr>
      </w:pPr>
      <w:r>
        <w:rPr>
          <w:rFonts w:hint="eastAsia" w:asciiTheme="minorEastAsia" w:hAnsiTheme="minorEastAsia" w:eastAsiaTheme="minorEastAsia"/>
          <w:b/>
          <w:bCs/>
          <w:sz w:val="36"/>
          <w:szCs w:val="36"/>
          <w:lang w:eastAsia="zh-CN"/>
        </w:rPr>
        <w:t>福建福海创石油化工有限公司</w:t>
      </w:r>
    </w:p>
    <w:p>
      <w:pPr>
        <w:spacing w:beforeLines="50" w:afterLines="50" w:line="400" w:lineRule="exact"/>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PTA海水泵站电解R8012-1电解槽更新发包说明</w:t>
      </w:r>
    </w:p>
    <w:p>
      <w:pPr>
        <w:spacing w:line="420" w:lineRule="exact"/>
        <w:rPr>
          <w:rFonts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一、工程说明</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工程名称：PTA海水泵站电解R8012-1电解槽更新</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工程地点：福建福海创石油化工有限公司PTA厂区海水泵站电解厂房</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 xml:space="preserve">工程期限： </w:t>
      </w:r>
      <w:r>
        <w:rPr>
          <w:rFonts w:asciiTheme="minorEastAsia" w:hAnsiTheme="minorEastAsia" w:eastAsiaTheme="minorEastAsia"/>
          <w:bCs/>
          <w:sz w:val="24"/>
          <w:lang w:eastAsia="zh-CN"/>
        </w:rPr>
        <w:t>6</w:t>
      </w:r>
      <w:r>
        <w:rPr>
          <w:rFonts w:hint="eastAsia" w:asciiTheme="minorEastAsia" w:hAnsiTheme="minorEastAsia" w:eastAsiaTheme="minorEastAsia"/>
          <w:bCs/>
          <w:sz w:val="24"/>
          <w:lang w:eastAsia="zh-CN"/>
        </w:rPr>
        <w:t>0个日历天</w:t>
      </w:r>
    </w:p>
    <w:p>
      <w:pPr>
        <w:spacing w:line="420" w:lineRule="exact"/>
        <w:rPr>
          <w:rFonts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二、工程内容</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福海创PTA海水泵站电解R8012-1电解槽因电极腐蚀需要更新,因不同厂商提供设备范围不同，有些厂商可以单独提供电解电极（原电解槽壳体利旧），有些厂商则只能提供整套电解槽（含电极），现拟以下两套供货方案, 供应商选择其中一种方案进行供货：</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方案一：按技术要求提供电解电极，并指导安装、调试。</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方案二：按技术要求提供电解槽（含壳体和电极），并指导安装、调试。</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除原电解槽厂家外其他厂家需要到现场进行电解槽的阳极、阴极、壳体、槽盖、密封件、紧固件等测量，各部件材质确认。</w:t>
      </w:r>
    </w:p>
    <w:p>
      <w:pPr>
        <w:spacing w:line="420" w:lineRule="exact"/>
        <w:rPr>
          <w:rFonts w:asciiTheme="minorEastAsia" w:hAnsiTheme="minorEastAsia" w:eastAsiaTheme="minorEastAsia"/>
          <w:b/>
          <w:bCs/>
          <w:sz w:val="24"/>
        </w:rPr>
      </w:pPr>
      <w:r>
        <w:rPr>
          <w:rFonts w:hint="eastAsia" w:asciiTheme="minorEastAsia" w:hAnsiTheme="minorEastAsia" w:eastAsiaTheme="minorEastAsia"/>
          <w:b/>
          <w:bCs/>
          <w:sz w:val="24"/>
        </w:rPr>
        <w:t>三、工程量表</w:t>
      </w:r>
    </w:p>
    <w:p>
      <w:pPr>
        <w:spacing w:line="240" w:lineRule="atLeast"/>
        <w:ind w:left="624"/>
        <w:rPr>
          <w:rFonts w:asciiTheme="minorEastAsia" w:hAnsiTheme="minorEastAsia" w:eastAsiaTheme="minorEastAsia"/>
          <w:b/>
          <w:bCs/>
          <w:sz w:val="24"/>
        </w:rPr>
      </w:pPr>
    </w:p>
    <w:tbl>
      <w:tblPr>
        <w:tblStyle w:val="47"/>
        <w:tblW w:w="8402"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6"/>
        <w:gridCol w:w="2002"/>
        <w:gridCol w:w="3335"/>
        <w:gridCol w:w="178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blHeader/>
          <w:jc w:val="center"/>
        </w:trPr>
        <w:tc>
          <w:tcPr>
            <w:tcW w:w="1276" w:type="dxa"/>
            <w:tcBorders>
              <w:left w:val="single" w:color="auto" w:sz="4" w:space="0"/>
              <w:right w:val="single" w:color="auto" w:sz="4" w:space="0"/>
            </w:tcBorders>
            <w:vAlign w:val="center"/>
          </w:tcPr>
          <w:p>
            <w:pPr>
              <w:pStyle w:val="21"/>
              <w:spacing w:line="500" w:lineRule="exact"/>
              <w:ind w:left="565"/>
              <w:jc w:val="center"/>
              <w:rPr>
                <w:rFonts w:asciiTheme="minorEastAsia" w:hAnsiTheme="minorEastAsia" w:eastAsiaTheme="minorEastAsia"/>
                <w:bCs/>
              </w:rPr>
            </w:pPr>
            <w:r>
              <w:rPr>
                <w:rFonts w:hint="eastAsia" w:asciiTheme="minorEastAsia" w:hAnsiTheme="minorEastAsia" w:eastAsiaTheme="minorEastAsia"/>
                <w:bCs/>
              </w:rPr>
              <w:t>序号</w:t>
            </w:r>
          </w:p>
        </w:tc>
        <w:tc>
          <w:tcPr>
            <w:tcW w:w="2002" w:type="dxa"/>
            <w:tcBorders>
              <w:left w:val="single" w:color="auto" w:sz="4" w:space="0"/>
              <w:right w:val="single" w:color="auto" w:sz="4" w:space="0"/>
            </w:tcBorders>
            <w:vAlign w:val="center"/>
          </w:tcPr>
          <w:p>
            <w:pPr>
              <w:pStyle w:val="21"/>
              <w:spacing w:line="500" w:lineRule="exact"/>
              <w:ind w:left="565"/>
              <w:jc w:val="center"/>
              <w:rPr>
                <w:rFonts w:asciiTheme="minorEastAsia" w:hAnsiTheme="minorEastAsia" w:eastAsiaTheme="minorEastAsia"/>
                <w:bCs/>
              </w:rPr>
            </w:pPr>
            <w:r>
              <w:rPr>
                <w:rFonts w:hint="eastAsia" w:asciiTheme="minorEastAsia" w:hAnsiTheme="minorEastAsia" w:eastAsiaTheme="minorEastAsia"/>
                <w:bCs/>
              </w:rPr>
              <w:t>名称</w:t>
            </w:r>
          </w:p>
        </w:tc>
        <w:tc>
          <w:tcPr>
            <w:tcW w:w="3335" w:type="dxa"/>
            <w:tcBorders>
              <w:left w:val="single" w:color="auto" w:sz="4" w:space="0"/>
              <w:right w:val="single" w:color="auto" w:sz="4" w:space="0"/>
            </w:tcBorders>
            <w:vAlign w:val="center"/>
          </w:tcPr>
          <w:p>
            <w:pPr>
              <w:pStyle w:val="21"/>
              <w:spacing w:line="500" w:lineRule="exact"/>
              <w:ind w:left="565"/>
              <w:jc w:val="center"/>
              <w:rPr>
                <w:rFonts w:asciiTheme="minorEastAsia" w:hAnsiTheme="minorEastAsia" w:eastAsiaTheme="minorEastAsia"/>
                <w:bCs/>
              </w:rPr>
            </w:pPr>
            <w:r>
              <w:rPr>
                <w:rFonts w:hint="eastAsia" w:asciiTheme="minorEastAsia" w:hAnsiTheme="minorEastAsia" w:eastAsiaTheme="minorEastAsia"/>
                <w:bCs/>
              </w:rPr>
              <w:t>品牌</w:t>
            </w:r>
          </w:p>
        </w:tc>
        <w:tc>
          <w:tcPr>
            <w:tcW w:w="1789" w:type="dxa"/>
            <w:tcBorders>
              <w:left w:val="single" w:color="auto" w:sz="4" w:space="0"/>
              <w:right w:val="single" w:color="auto" w:sz="4" w:space="0"/>
            </w:tcBorders>
            <w:vAlign w:val="center"/>
          </w:tcPr>
          <w:p>
            <w:pPr>
              <w:pStyle w:val="21"/>
              <w:spacing w:line="500" w:lineRule="exact"/>
              <w:ind w:left="565"/>
              <w:jc w:val="center"/>
              <w:rPr>
                <w:rFonts w:asciiTheme="minorEastAsia" w:hAnsiTheme="minorEastAsia" w:eastAsiaTheme="minorEastAsia"/>
                <w:bCs/>
              </w:rPr>
            </w:pPr>
            <w:r>
              <w:rPr>
                <w:rFonts w:hint="eastAsia" w:asciiTheme="minorEastAsia" w:hAnsiTheme="minorEastAsia" w:eastAsiaTheme="minorEastAsia"/>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jc w:val="center"/>
        </w:trPr>
        <w:tc>
          <w:tcPr>
            <w:tcW w:w="1276" w:type="dxa"/>
            <w:vAlign w:val="center"/>
          </w:tcPr>
          <w:p>
            <w:pPr>
              <w:widowControl/>
              <w:shd w:val="clear" w:color="auto" w:fill="FFFFFF"/>
              <w:spacing w:line="276" w:lineRule="auto"/>
              <w:rPr>
                <w:rFonts w:asciiTheme="minorEastAsia" w:hAnsiTheme="minorEastAsia" w:eastAsiaTheme="minorEastAsia"/>
                <w:bCs/>
                <w:sz w:val="24"/>
              </w:rPr>
            </w:pPr>
            <w:r>
              <w:rPr>
                <w:rFonts w:hint="eastAsia" w:asciiTheme="minorEastAsia" w:hAnsiTheme="minorEastAsia" w:eastAsiaTheme="minorEastAsia"/>
                <w:bCs/>
                <w:sz w:val="24"/>
              </w:rPr>
              <w:t>方案一</w:t>
            </w:r>
          </w:p>
        </w:tc>
        <w:tc>
          <w:tcPr>
            <w:tcW w:w="2002" w:type="dxa"/>
            <w:vAlign w:val="center"/>
          </w:tcPr>
          <w:p>
            <w:pPr>
              <w:widowControl/>
              <w:shd w:val="clear" w:color="auto" w:fill="FFFFFF"/>
              <w:spacing w:line="276" w:lineRule="auto"/>
              <w:rPr>
                <w:rFonts w:asciiTheme="minorEastAsia" w:hAnsiTheme="minorEastAsia" w:eastAsiaTheme="minorEastAsia"/>
                <w:bCs/>
                <w:sz w:val="24"/>
              </w:rPr>
            </w:pPr>
            <w:r>
              <w:rPr>
                <w:rFonts w:hint="eastAsia" w:asciiTheme="minorEastAsia" w:hAnsiTheme="minorEastAsia" w:eastAsiaTheme="minorEastAsia"/>
                <w:bCs/>
                <w:sz w:val="24"/>
              </w:rPr>
              <w:t>板式双极式电极</w:t>
            </w:r>
          </w:p>
        </w:tc>
        <w:tc>
          <w:tcPr>
            <w:tcW w:w="3335" w:type="dxa"/>
            <w:vAlign w:val="center"/>
          </w:tcPr>
          <w:p>
            <w:pPr>
              <w:widowControl/>
              <w:shd w:val="clear" w:color="auto" w:fill="FFFFFF"/>
              <w:spacing w:line="276" w:lineRule="auto"/>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青岛双瑞、湖南源生环保、西安泰金、广西博世科</w:t>
            </w:r>
          </w:p>
        </w:tc>
        <w:tc>
          <w:tcPr>
            <w:tcW w:w="1789" w:type="dxa"/>
            <w:vAlign w:val="center"/>
          </w:tcPr>
          <w:p>
            <w:pPr>
              <w:widowControl/>
              <w:shd w:val="clear" w:color="auto" w:fill="FFFFFF"/>
              <w:spacing w:line="276"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jc w:val="center"/>
        </w:trPr>
        <w:tc>
          <w:tcPr>
            <w:tcW w:w="1276" w:type="dxa"/>
            <w:vAlign w:val="center"/>
          </w:tcPr>
          <w:p>
            <w:pPr>
              <w:widowControl/>
              <w:shd w:val="clear" w:color="auto" w:fill="FFFFFF"/>
              <w:spacing w:line="276" w:lineRule="auto"/>
              <w:rPr>
                <w:rFonts w:asciiTheme="minorEastAsia" w:hAnsiTheme="minorEastAsia" w:eastAsiaTheme="minorEastAsia"/>
                <w:bCs/>
                <w:sz w:val="24"/>
              </w:rPr>
            </w:pPr>
            <w:r>
              <w:rPr>
                <w:rFonts w:hint="eastAsia" w:asciiTheme="minorEastAsia" w:hAnsiTheme="minorEastAsia" w:eastAsiaTheme="minorEastAsia"/>
                <w:bCs/>
                <w:sz w:val="24"/>
              </w:rPr>
              <w:t>方案二</w:t>
            </w:r>
          </w:p>
        </w:tc>
        <w:tc>
          <w:tcPr>
            <w:tcW w:w="2002" w:type="dxa"/>
            <w:vAlign w:val="center"/>
          </w:tcPr>
          <w:p>
            <w:pPr>
              <w:widowControl/>
              <w:shd w:val="clear" w:color="auto" w:fill="FFFFFF"/>
              <w:spacing w:line="276" w:lineRule="auto"/>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管板式电解槽（含壳体和电极）</w:t>
            </w:r>
          </w:p>
        </w:tc>
        <w:tc>
          <w:tcPr>
            <w:tcW w:w="3335" w:type="dxa"/>
            <w:vAlign w:val="center"/>
          </w:tcPr>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青岛双瑞、湖南源生环保、西安泰金、广西博世科</w:t>
            </w:r>
          </w:p>
        </w:tc>
        <w:tc>
          <w:tcPr>
            <w:tcW w:w="1789" w:type="dxa"/>
            <w:vAlign w:val="center"/>
          </w:tcPr>
          <w:p>
            <w:pPr>
              <w:widowControl/>
              <w:shd w:val="clear" w:color="auto" w:fill="FFFFFF"/>
              <w:spacing w:line="276" w:lineRule="auto"/>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1套（4台壳体和4根电极）</w:t>
            </w:r>
          </w:p>
        </w:tc>
      </w:tr>
    </w:tbl>
    <w:p>
      <w:pPr>
        <w:spacing w:line="420" w:lineRule="exact"/>
        <w:rPr>
          <w:rFonts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四、技术要求</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满足《电解海水次氯酸钠发生装置技术条件》（GB/T22839-2010）中3.4.4电解槽技术指标。</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1、电极</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型式：板式双极式电极</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工作电压：直流230V</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工作电流：2800A</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直流电耗：≦4.5kWh/kg</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阳极材质：钛涂多元贵金属氧化物涂层</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阴极材质：钛</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阴阳极之间在干燥状态下的绝缘电阻不小于1k</w:t>
      </w:r>
      <w:r>
        <w:rPr>
          <w:rFonts w:hint="eastAsia" w:asciiTheme="minorEastAsia" w:hAnsiTheme="minorEastAsia" w:eastAsiaTheme="minorEastAsia"/>
          <w:bCs/>
          <w:sz w:val="24"/>
        </w:rPr>
        <w:t>Ω</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电极使用寿命：≥5年</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2、电解槽（含电极）</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电解槽应有良好的密封性，其水密性试验压力应为电解槽设计压力的1.25倍。电极要求参照技术要求第1条，工艺参数如下：</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型式：外部PVC缠绕玻璃钢管，内部板式双极式电极</w:t>
      </w:r>
      <w:r>
        <w:rPr>
          <w:rFonts w:asciiTheme="minorEastAsia" w:hAnsiTheme="minorEastAsia" w:eastAsiaTheme="minorEastAsia"/>
          <w:bCs/>
          <w:sz w:val="24"/>
          <w:lang w:eastAsia="zh-CN"/>
        </w:rPr>
        <w:t xml:space="preserve"> </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有效氯产量：120kg/h</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有效氯浓度：≥1500ppm</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最大工作压力：0.6MPa</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工作压力： 0.25MPa</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液体流量： 70</w:t>
      </w:r>
      <w:r>
        <w:rPr>
          <w:rFonts w:asciiTheme="minorEastAsia" w:hAnsiTheme="minorEastAsia" w:eastAsiaTheme="minorEastAsia"/>
          <w:bCs/>
          <w:sz w:val="24"/>
          <w:lang w:eastAsia="zh-CN"/>
        </w:rPr>
        <w:t>m</w:t>
      </w:r>
      <w:r>
        <w:rPr>
          <w:rFonts w:hint="eastAsia" w:asciiTheme="minorEastAsia" w:hAnsiTheme="minorEastAsia" w:eastAsiaTheme="minorEastAsia"/>
          <w:bCs/>
          <w:sz w:val="24"/>
          <w:lang w:eastAsia="zh-CN"/>
        </w:rPr>
        <w:t>³</w:t>
      </w:r>
      <w:r>
        <w:rPr>
          <w:rFonts w:asciiTheme="minorEastAsia" w:hAnsiTheme="minorEastAsia" w:eastAsiaTheme="minorEastAsia"/>
          <w:bCs/>
          <w:sz w:val="24"/>
          <w:lang w:eastAsia="zh-CN"/>
        </w:rPr>
        <w:t>/h</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设计压力： 0.375MPa</w:t>
      </w:r>
    </w:p>
    <w:p>
      <w:pPr>
        <w:spacing w:line="420" w:lineRule="exact"/>
        <w:rPr>
          <w:rFonts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五、承包商资质和供货周期要求</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1、具有独立企业法人资格；</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2、具有电解海水次氯酸钠发生装置或电解槽电极的生产制造资质，提供资质证明和近几年业绩情况；</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3、供货周期要求为合同生效之日起算，供货时间：T+60天(合同签订完成定为T)。</w:t>
      </w:r>
      <w:r>
        <w:rPr>
          <w:rFonts w:asciiTheme="minorEastAsia" w:hAnsiTheme="minorEastAsia" w:eastAsiaTheme="minorEastAsia"/>
          <w:bCs/>
          <w:sz w:val="24"/>
          <w:lang w:eastAsia="zh-CN"/>
        </w:rPr>
        <w:t xml:space="preserve"> </w:t>
      </w:r>
    </w:p>
    <w:p>
      <w:pPr>
        <w:spacing w:line="420" w:lineRule="exact"/>
        <w:rPr>
          <w:rFonts w:asciiTheme="minorEastAsia" w:hAnsiTheme="minorEastAsia" w:eastAsiaTheme="minorEastAsia"/>
          <w:b/>
          <w:bCs/>
          <w:sz w:val="24"/>
          <w:lang w:eastAsia="zh-CN"/>
        </w:rPr>
      </w:pPr>
      <w:bookmarkStart w:id="16" w:name="_Toc84079331"/>
      <w:bookmarkStart w:id="17" w:name="_Toc85103700"/>
      <w:bookmarkStart w:id="18" w:name="_Toc84686533"/>
      <w:r>
        <w:rPr>
          <w:rFonts w:hint="eastAsia" w:asciiTheme="minorEastAsia" w:hAnsiTheme="minorEastAsia" w:eastAsiaTheme="minorEastAsia"/>
          <w:b/>
          <w:bCs/>
          <w:sz w:val="24"/>
          <w:lang w:eastAsia="zh-CN"/>
        </w:rPr>
        <w:t>六、承包商职责</w:t>
      </w:r>
      <w:bookmarkEnd w:id="16"/>
      <w:bookmarkEnd w:id="17"/>
      <w:bookmarkEnd w:id="18"/>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1、所提供的设备、配件除满足本发包说明的技术要求和功能要求外，还须符合中国的有关标准，并取得国家有关监督、检验、认证机构的认证。</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2、承包商对所提供的设备负有完全责任。</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3、承包商应提供现场指导安装、调试服务，所发生的费用由承包商承担。</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4、承包商应对设备的售后技术服务、使用与维修技术咨询提供良好的保证，保证提供免费热线技术服务。</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5、为了确保设备的安装、维护和正常运行，承包商必须提供所需附加的设备、工具及附件的清单，即使这些设备附件在发包文件中未列出。</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6、承包商负责设备的供货、指导安装、调试及技术培训。</w:t>
      </w:r>
    </w:p>
    <w:p>
      <w:pPr>
        <w:spacing w:line="420" w:lineRule="exact"/>
        <w:rPr>
          <w:rFonts w:asciiTheme="minorEastAsia" w:hAnsiTheme="minorEastAsia" w:eastAsiaTheme="minorEastAsia"/>
          <w:b/>
          <w:bCs/>
          <w:sz w:val="24"/>
          <w:lang w:eastAsia="zh-CN"/>
        </w:rPr>
      </w:pPr>
      <w:bookmarkStart w:id="19" w:name="_Toc85103703"/>
      <w:bookmarkStart w:id="20" w:name="_Toc84079334"/>
      <w:bookmarkStart w:id="21" w:name="_Toc84686536"/>
      <w:r>
        <w:rPr>
          <w:rFonts w:hint="eastAsia" w:asciiTheme="minorEastAsia" w:hAnsiTheme="minorEastAsia" w:eastAsiaTheme="minorEastAsia"/>
          <w:b/>
          <w:bCs/>
          <w:sz w:val="24"/>
          <w:lang w:eastAsia="zh-CN"/>
        </w:rPr>
        <w:t>七、供货材料说明范围</w:t>
      </w:r>
      <w:bookmarkEnd w:id="19"/>
      <w:bookmarkEnd w:id="20"/>
      <w:bookmarkEnd w:id="21"/>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工程量表上的材料清单仅为更新设备初步统计，并没有对电解槽内部深入统计。投标方应到现场实地勘查，了解项目需求。项目实施过程中，缺少其他设备、辅材或配件，导致买方无法正常运行及达标验收，由此引起的补充设备、附材、配件或服务都被视为由承包商无偿供应。</w:t>
      </w:r>
    </w:p>
    <w:p>
      <w:pPr>
        <w:spacing w:line="420" w:lineRule="exact"/>
        <w:rPr>
          <w:rFonts w:asciiTheme="minorEastAsia" w:hAnsiTheme="minorEastAsia" w:eastAsiaTheme="minorEastAsia"/>
          <w:b/>
          <w:bCs/>
          <w:sz w:val="24"/>
          <w:lang w:eastAsia="zh-CN"/>
        </w:rPr>
      </w:pPr>
      <w:bookmarkStart w:id="22" w:name="_Toc84079338"/>
      <w:bookmarkStart w:id="23" w:name="_Toc5318"/>
      <w:r>
        <w:rPr>
          <w:rFonts w:hint="eastAsia" w:asciiTheme="minorEastAsia" w:hAnsiTheme="minorEastAsia" w:eastAsiaTheme="minorEastAsia"/>
          <w:b/>
          <w:bCs/>
          <w:sz w:val="24"/>
          <w:lang w:eastAsia="zh-CN"/>
        </w:rPr>
        <w:t>八、承包商需提供文件资料</w:t>
      </w:r>
      <w:bookmarkEnd w:id="22"/>
      <w:bookmarkEnd w:id="23"/>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承包商提交用户的应用文件至少包括：</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1、设备的产品合格证和检测检验证明文件等；</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2、设备数据及表格；</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3、电解槽电极材料原产地证明；</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4、其他必要文件。</w:t>
      </w:r>
    </w:p>
    <w:p>
      <w:pPr>
        <w:spacing w:line="420" w:lineRule="exact"/>
        <w:rPr>
          <w:rFonts w:asciiTheme="minorEastAsia" w:hAnsiTheme="minorEastAsia" w:eastAsiaTheme="minorEastAsia"/>
          <w:b/>
          <w:bCs/>
          <w:sz w:val="24"/>
          <w:lang w:eastAsia="zh-CN"/>
        </w:rPr>
      </w:pPr>
      <w:bookmarkStart w:id="24" w:name="_Toc84079335"/>
      <w:bookmarkStart w:id="25" w:name="_Toc84686537"/>
      <w:bookmarkStart w:id="26" w:name="_Toc85103704"/>
      <w:r>
        <w:rPr>
          <w:rFonts w:hint="eastAsia" w:asciiTheme="minorEastAsia" w:hAnsiTheme="minorEastAsia" w:eastAsiaTheme="minorEastAsia"/>
          <w:b/>
          <w:bCs/>
          <w:sz w:val="24"/>
          <w:lang w:eastAsia="zh-CN"/>
        </w:rPr>
        <w:t>九、投标文件</w:t>
      </w:r>
      <w:bookmarkEnd w:id="24"/>
      <w:bookmarkEnd w:id="25"/>
      <w:bookmarkEnd w:id="26"/>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1、投标文件应严格符合本发文件中列出的所有条款，对于不符合项，应作为偏差项进行逐项说明，并给出可以作为替代方案的建议性解决办法。除已特殊说明的条款外，报价文件中所提供的产品应保证完全符合询价书所需要的供货围、技术规格、技术指标等。否则，由此而产生的问题（不论报价技术文件是否被确认）均由供货方负责。</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2、本询价书的技术规格是对电解槽设备的最低要求。承包商可以提出满足或高于本询价书要求的替代方案或建议，并对替代方案进行明确说明。只有经用户方书面批准的替代方案或偏差才有效。</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3、报价技术文件应包括（编制顺序以商务招标文件的要求为准）：</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①.</w:t>
      </w:r>
      <w:r>
        <w:rPr>
          <w:rFonts w:asciiTheme="minorEastAsia" w:hAnsiTheme="minorEastAsia" w:eastAsiaTheme="minorEastAsia"/>
          <w:bCs/>
          <w:sz w:val="24"/>
          <w:lang w:eastAsia="zh-CN"/>
        </w:rPr>
        <w:t xml:space="preserve"> </w:t>
      </w:r>
      <w:r>
        <w:rPr>
          <w:rFonts w:hint="eastAsia" w:asciiTheme="minorEastAsia" w:hAnsiTheme="minorEastAsia" w:eastAsiaTheme="minorEastAsia"/>
          <w:bCs/>
          <w:sz w:val="24"/>
          <w:lang w:eastAsia="zh-CN"/>
        </w:rPr>
        <w:t>承包商及制造厂资质、简介和业绩证明；</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asciiTheme="minorEastAsia" w:hAnsiTheme="minorEastAsia" w:eastAsiaTheme="minorEastAsia"/>
          <w:bCs/>
          <w:sz w:val="24"/>
        </w:rPr>
        <w:fldChar w:fldCharType="begin"/>
      </w:r>
      <w:r>
        <w:rPr>
          <w:rFonts w:asciiTheme="minorEastAsia" w:hAnsiTheme="minorEastAsia" w:eastAsiaTheme="minorEastAsia"/>
          <w:bCs/>
          <w:sz w:val="24"/>
          <w:lang w:eastAsia="zh-CN"/>
        </w:rPr>
        <w:instrText xml:space="preserve"> </w:instrText>
      </w:r>
      <w:r>
        <w:rPr>
          <w:rFonts w:hint="eastAsia" w:asciiTheme="minorEastAsia" w:hAnsiTheme="minorEastAsia" w:eastAsiaTheme="minorEastAsia"/>
          <w:bCs/>
          <w:sz w:val="24"/>
          <w:lang w:eastAsia="zh-CN"/>
        </w:rPr>
        <w:instrText xml:space="preserve">= 2 \* GB3</w:instrText>
      </w:r>
      <w:r>
        <w:rPr>
          <w:rFonts w:asciiTheme="minorEastAsia" w:hAnsiTheme="minorEastAsia" w:eastAsiaTheme="minorEastAsia"/>
          <w:bCs/>
          <w:sz w:val="24"/>
          <w:lang w:eastAsia="zh-CN"/>
        </w:rPr>
        <w:instrText xml:space="preserve"> </w:instrText>
      </w:r>
      <w:r>
        <w:rPr>
          <w:rFonts w:asciiTheme="minorEastAsia" w:hAnsiTheme="minorEastAsia" w:eastAsiaTheme="minorEastAsia"/>
          <w:bCs/>
          <w:sz w:val="24"/>
        </w:rPr>
        <w:fldChar w:fldCharType="separate"/>
      </w:r>
      <w:r>
        <w:rPr>
          <w:rFonts w:hint="eastAsia" w:asciiTheme="minorEastAsia" w:hAnsiTheme="minorEastAsia" w:eastAsiaTheme="minorEastAsia"/>
          <w:bCs/>
          <w:sz w:val="24"/>
          <w:lang w:eastAsia="zh-CN"/>
        </w:rPr>
        <w:t>②</w:t>
      </w:r>
      <w:r>
        <w:rPr>
          <w:rFonts w:asciiTheme="minorEastAsia" w:hAnsiTheme="minorEastAsia" w:eastAsiaTheme="minorEastAsia"/>
          <w:bCs/>
          <w:sz w:val="24"/>
        </w:rPr>
        <w:fldChar w:fldCharType="end"/>
      </w:r>
      <w:r>
        <w:rPr>
          <w:rFonts w:asciiTheme="minorEastAsia" w:hAnsiTheme="minorEastAsia" w:eastAsiaTheme="minorEastAsia"/>
          <w:bCs/>
          <w:sz w:val="24"/>
          <w:lang w:eastAsia="zh-CN"/>
        </w:rPr>
        <w:t>.</w:t>
      </w:r>
      <w:r>
        <w:rPr>
          <w:rFonts w:hint="eastAsia" w:asciiTheme="minorEastAsia" w:hAnsiTheme="minorEastAsia" w:eastAsiaTheme="minorEastAsia"/>
          <w:bCs/>
          <w:sz w:val="24"/>
          <w:lang w:eastAsia="zh-CN"/>
        </w:rPr>
        <w:t xml:space="preserve"> 设备生产商的授权文件；</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asciiTheme="minorEastAsia" w:hAnsiTheme="minorEastAsia" w:eastAsiaTheme="minorEastAsia"/>
          <w:bCs/>
          <w:sz w:val="24"/>
        </w:rPr>
        <w:fldChar w:fldCharType="begin"/>
      </w:r>
      <w:r>
        <w:rPr>
          <w:rFonts w:asciiTheme="minorEastAsia" w:hAnsiTheme="minorEastAsia" w:eastAsiaTheme="minorEastAsia"/>
          <w:bCs/>
          <w:sz w:val="24"/>
          <w:lang w:eastAsia="zh-CN"/>
        </w:rPr>
        <w:instrText xml:space="preserve"> </w:instrText>
      </w:r>
      <w:r>
        <w:rPr>
          <w:rFonts w:hint="eastAsia" w:asciiTheme="minorEastAsia" w:hAnsiTheme="minorEastAsia" w:eastAsiaTheme="minorEastAsia"/>
          <w:bCs/>
          <w:sz w:val="24"/>
          <w:lang w:eastAsia="zh-CN"/>
        </w:rPr>
        <w:instrText xml:space="preserve">= 3 \* GB3</w:instrText>
      </w:r>
      <w:r>
        <w:rPr>
          <w:rFonts w:asciiTheme="minorEastAsia" w:hAnsiTheme="minorEastAsia" w:eastAsiaTheme="minorEastAsia"/>
          <w:bCs/>
          <w:sz w:val="24"/>
          <w:lang w:eastAsia="zh-CN"/>
        </w:rPr>
        <w:instrText xml:space="preserve"> </w:instrText>
      </w:r>
      <w:r>
        <w:rPr>
          <w:rFonts w:asciiTheme="minorEastAsia" w:hAnsiTheme="minorEastAsia" w:eastAsiaTheme="minorEastAsia"/>
          <w:bCs/>
          <w:sz w:val="24"/>
        </w:rPr>
        <w:fldChar w:fldCharType="separate"/>
      </w:r>
      <w:r>
        <w:rPr>
          <w:rFonts w:hint="eastAsia" w:asciiTheme="minorEastAsia" w:hAnsiTheme="minorEastAsia" w:eastAsiaTheme="minorEastAsia"/>
          <w:bCs/>
          <w:sz w:val="24"/>
          <w:lang w:eastAsia="zh-CN"/>
        </w:rPr>
        <w:t>③</w:t>
      </w:r>
      <w:r>
        <w:rPr>
          <w:rFonts w:asciiTheme="minorEastAsia" w:hAnsiTheme="minorEastAsia" w:eastAsiaTheme="minorEastAsia"/>
          <w:bCs/>
          <w:sz w:val="24"/>
        </w:rPr>
        <w:fldChar w:fldCharType="end"/>
      </w:r>
      <w:r>
        <w:rPr>
          <w:rFonts w:asciiTheme="minorEastAsia" w:hAnsiTheme="minorEastAsia" w:eastAsiaTheme="minorEastAsia"/>
          <w:bCs/>
          <w:sz w:val="24"/>
          <w:lang w:eastAsia="zh-CN"/>
        </w:rPr>
        <w:t>.</w:t>
      </w:r>
      <w:r>
        <w:rPr>
          <w:rFonts w:hint="eastAsia" w:asciiTheme="minorEastAsia" w:hAnsiTheme="minorEastAsia" w:eastAsiaTheme="minorEastAsia"/>
          <w:bCs/>
          <w:sz w:val="24"/>
          <w:lang w:eastAsia="zh-CN"/>
        </w:rPr>
        <w:t xml:space="preserve"> 技术服务项目及保证；</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asciiTheme="minorEastAsia" w:hAnsiTheme="minorEastAsia" w:eastAsiaTheme="minorEastAsia"/>
          <w:bCs/>
          <w:sz w:val="24"/>
        </w:rPr>
        <w:fldChar w:fldCharType="begin"/>
      </w:r>
      <w:r>
        <w:rPr>
          <w:rFonts w:asciiTheme="minorEastAsia" w:hAnsiTheme="minorEastAsia" w:eastAsiaTheme="minorEastAsia"/>
          <w:bCs/>
          <w:sz w:val="24"/>
          <w:lang w:eastAsia="zh-CN"/>
        </w:rPr>
        <w:instrText xml:space="preserve"> </w:instrText>
      </w:r>
      <w:r>
        <w:rPr>
          <w:rFonts w:hint="eastAsia" w:asciiTheme="minorEastAsia" w:hAnsiTheme="minorEastAsia" w:eastAsiaTheme="minorEastAsia"/>
          <w:bCs/>
          <w:sz w:val="24"/>
          <w:lang w:eastAsia="zh-CN"/>
        </w:rPr>
        <w:instrText xml:space="preserve">= 4 \* GB3</w:instrText>
      </w:r>
      <w:r>
        <w:rPr>
          <w:rFonts w:asciiTheme="minorEastAsia" w:hAnsiTheme="minorEastAsia" w:eastAsiaTheme="minorEastAsia"/>
          <w:bCs/>
          <w:sz w:val="24"/>
          <w:lang w:eastAsia="zh-CN"/>
        </w:rPr>
        <w:instrText xml:space="preserve"> </w:instrText>
      </w:r>
      <w:r>
        <w:rPr>
          <w:rFonts w:asciiTheme="minorEastAsia" w:hAnsiTheme="minorEastAsia" w:eastAsiaTheme="minorEastAsia"/>
          <w:bCs/>
          <w:sz w:val="24"/>
        </w:rPr>
        <w:fldChar w:fldCharType="separate"/>
      </w:r>
      <w:r>
        <w:rPr>
          <w:rFonts w:hint="eastAsia" w:asciiTheme="minorEastAsia" w:hAnsiTheme="minorEastAsia" w:eastAsiaTheme="minorEastAsia"/>
          <w:bCs/>
          <w:sz w:val="24"/>
          <w:lang w:eastAsia="zh-CN"/>
        </w:rPr>
        <w:t>④</w:t>
      </w:r>
      <w:r>
        <w:rPr>
          <w:rFonts w:asciiTheme="minorEastAsia" w:hAnsiTheme="minorEastAsia" w:eastAsiaTheme="minorEastAsia"/>
          <w:bCs/>
          <w:sz w:val="24"/>
        </w:rPr>
        <w:fldChar w:fldCharType="end"/>
      </w:r>
      <w:r>
        <w:rPr>
          <w:rFonts w:asciiTheme="minorEastAsia" w:hAnsiTheme="minorEastAsia" w:eastAsiaTheme="minorEastAsia"/>
          <w:bCs/>
          <w:sz w:val="24"/>
          <w:lang w:eastAsia="zh-CN"/>
        </w:rPr>
        <w:t>.</w:t>
      </w:r>
      <w:r>
        <w:rPr>
          <w:rFonts w:hint="eastAsia" w:asciiTheme="minorEastAsia" w:hAnsiTheme="minorEastAsia" w:eastAsiaTheme="minorEastAsia"/>
          <w:bCs/>
          <w:sz w:val="24"/>
          <w:lang w:eastAsia="zh-CN"/>
        </w:rPr>
        <w:t xml:space="preserve"> 质量保证措施；</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asciiTheme="minorEastAsia" w:hAnsiTheme="minorEastAsia" w:eastAsiaTheme="minorEastAsia"/>
          <w:bCs/>
          <w:sz w:val="24"/>
        </w:rPr>
        <w:fldChar w:fldCharType="begin"/>
      </w:r>
      <w:r>
        <w:rPr>
          <w:rFonts w:asciiTheme="minorEastAsia" w:hAnsiTheme="minorEastAsia" w:eastAsiaTheme="minorEastAsia"/>
          <w:bCs/>
          <w:sz w:val="24"/>
          <w:lang w:eastAsia="zh-CN"/>
        </w:rPr>
        <w:instrText xml:space="preserve"> </w:instrText>
      </w:r>
      <w:r>
        <w:rPr>
          <w:rFonts w:hint="eastAsia" w:asciiTheme="minorEastAsia" w:hAnsiTheme="minorEastAsia" w:eastAsiaTheme="minorEastAsia"/>
          <w:bCs/>
          <w:sz w:val="24"/>
          <w:lang w:eastAsia="zh-CN"/>
        </w:rPr>
        <w:instrText xml:space="preserve">= 5 \* GB3</w:instrText>
      </w:r>
      <w:r>
        <w:rPr>
          <w:rFonts w:asciiTheme="minorEastAsia" w:hAnsiTheme="minorEastAsia" w:eastAsiaTheme="minorEastAsia"/>
          <w:bCs/>
          <w:sz w:val="24"/>
          <w:lang w:eastAsia="zh-CN"/>
        </w:rPr>
        <w:instrText xml:space="preserve"> </w:instrText>
      </w:r>
      <w:r>
        <w:rPr>
          <w:rFonts w:asciiTheme="minorEastAsia" w:hAnsiTheme="minorEastAsia" w:eastAsiaTheme="minorEastAsia"/>
          <w:bCs/>
          <w:sz w:val="24"/>
        </w:rPr>
        <w:fldChar w:fldCharType="separate"/>
      </w:r>
      <w:r>
        <w:rPr>
          <w:rFonts w:hint="eastAsia" w:asciiTheme="minorEastAsia" w:hAnsiTheme="minorEastAsia" w:eastAsiaTheme="minorEastAsia"/>
          <w:bCs/>
          <w:sz w:val="24"/>
          <w:lang w:eastAsia="zh-CN"/>
        </w:rPr>
        <w:t>⑤</w:t>
      </w:r>
      <w:r>
        <w:rPr>
          <w:rFonts w:asciiTheme="minorEastAsia" w:hAnsiTheme="minorEastAsia" w:eastAsiaTheme="minorEastAsia"/>
          <w:bCs/>
          <w:sz w:val="24"/>
        </w:rPr>
        <w:fldChar w:fldCharType="end"/>
      </w:r>
      <w:r>
        <w:rPr>
          <w:rFonts w:asciiTheme="minorEastAsia" w:hAnsiTheme="minorEastAsia" w:eastAsiaTheme="minorEastAsia"/>
          <w:bCs/>
          <w:sz w:val="24"/>
          <w:lang w:eastAsia="zh-CN"/>
        </w:rPr>
        <w:t>.</w:t>
      </w:r>
      <w:r>
        <w:rPr>
          <w:rFonts w:hint="eastAsia" w:asciiTheme="minorEastAsia" w:hAnsiTheme="minorEastAsia" w:eastAsiaTheme="minorEastAsia"/>
          <w:bCs/>
          <w:sz w:val="24"/>
          <w:lang w:eastAsia="zh-CN"/>
        </w:rPr>
        <w:t xml:space="preserve"> 现场勘查交流记录；</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asciiTheme="minorEastAsia" w:hAnsiTheme="minorEastAsia" w:eastAsiaTheme="minorEastAsia"/>
          <w:bCs/>
          <w:sz w:val="24"/>
        </w:rPr>
        <w:fldChar w:fldCharType="begin"/>
      </w:r>
      <w:r>
        <w:rPr>
          <w:rFonts w:asciiTheme="minorEastAsia" w:hAnsiTheme="minorEastAsia" w:eastAsiaTheme="minorEastAsia"/>
          <w:bCs/>
          <w:sz w:val="24"/>
          <w:lang w:eastAsia="zh-CN"/>
        </w:rPr>
        <w:instrText xml:space="preserve"> </w:instrText>
      </w:r>
      <w:r>
        <w:rPr>
          <w:rFonts w:hint="eastAsia" w:asciiTheme="minorEastAsia" w:hAnsiTheme="minorEastAsia" w:eastAsiaTheme="minorEastAsia"/>
          <w:bCs/>
          <w:sz w:val="24"/>
          <w:lang w:eastAsia="zh-CN"/>
        </w:rPr>
        <w:instrText xml:space="preserve">= 6 \* GB3</w:instrText>
      </w:r>
      <w:r>
        <w:rPr>
          <w:rFonts w:asciiTheme="minorEastAsia" w:hAnsiTheme="minorEastAsia" w:eastAsiaTheme="minorEastAsia"/>
          <w:bCs/>
          <w:sz w:val="24"/>
          <w:lang w:eastAsia="zh-CN"/>
        </w:rPr>
        <w:instrText xml:space="preserve"> </w:instrText>
      </w:r>
      <w:r>
        <w:rPr>
          <w:rFonts w:asciiTheme="minorEastAsia" w:hAnsiTheme="minorEastAsia" w:eastAsiaTheme="minorEastAsia"/>
          <w:bCs/>
          <w:sz w:val="24"/>
        </w:rPr>
        <w:fldChar w:fldCharType="separate"/>
      </w:r>
      <w:r>
        <w:rPr>
          <w:rFonts w:hint="eastAsia" w:asciiTheme="minorEastAsia" w:hAnsiTheme="minorEastAsia" w:eastAsiaTheme="minorEastAsia"/>
          <w:bCs/>
          <w:sz w:val="24"/>
          <w:lang w:eastAsia="zh-CN"/>
        </w:rPr>
        <w:t>⑥</w:t>
      </w:r>
      <w:r>
        <w:rPr>
          <w:rFonts w:asciiTheme="minorEastAsia" w:hAnsiTheme="minorEastAsia" w:eastAsiaTheme="minorEastAsia"/>
          <w:bCs/>
          <w:sz w:val="24"/>
        </w:rPr>
        <w:fldChar w:fldCharType="end"/>
      </w:r>
      <w:r>
        <w:rPr>
          <w:rFonts w:asciiTheme="minorEastAsia" w:hAnsiTheme="minorEastAsia" w:eastAsiaTheme="minorEastAsia"/>
          <w:bCs/>
          <w:sz w:val="24"/>
          <w:lang w:eastAsia="zh-CN"/>
        </w:rPr>
        <w:t>.</w:t>
      </w:r>
      <w:r>
        <w:rPr>
          <w:rFonts w:hint="eastAsia" w:asciiTheme="minorEastAsia" w:hAnsiTheme="minorEastAsia" w:eastAsiaTheme="minorEastAsia"/>
          <w:bCs/>
          <w:sz w:val="24"/>
          <w:lang w:eastAsia="zh-CN"/>
        </w:rPr>
        <w:t xml:space="preserve"> 投标要求的其他文件。</w:t>
      </w:r>
    </w:p>
    <w:p>
      <w:pPr>
        <w:spacing w:line="420" w:lineRule="exact"/>
        <w:rPr>
          <w:rFonts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十、</w:t>
      </w:r>
      <w:bookmarkStart w:id="27" w:name="_Toc85103707"/>
      <w:r>
        <w:rPr>
          <w:rFonts w:hint="eastAsia" w:cs="仿宋_GB2312" w:asciiTheme="minorEastAsia" w:hAnsiTheme="minorEastAsia" w:eastAsiaTheme="minorEastAsia"/>
          <w:b/>
          <w:sz w:val="24"/>
          <w:shd w:val="clear" w:color="auto" w:fill="FFFFFF"/>
          <w:lang w:eastAsia="zh-CN"/>
        </w:rPr>
        <w:t>奖惩</w:t>
      </w:r>
      <w:r>
        <w:rPr>
          <w:rFonts w:hint="eastAsia" w:asciiTheme="minorEastAsia" w:hAnsiTheme="minorEastAsia" w:eastAsiaTheme="minorEastAsia"/>
          <w:b/>
          <w:bCs/>
          <w:sz w:val="24"/>
          <w:shd w:val="clear" w:color="auto" w:fill="FFFFFF"/>
          <w:lang w:eastAsia="zh-CN"/>
        </w:rPr>
        <w:t>及违约条款</w:t>
      </w:r>
    </w:p>
    <w:p>
      <w:pPr>
        <w:pStyle w:val="75"/>
        <w:adjustRightInd w:val="0"/>
        <w:snapToGrid w:val="0"/>
        <w:spacing w:line="276" w:lineRule="auto"/>
        <w:ind w:firstLine="446" w:firstLineChars="186"/>
        <w:rPr>
          <w:rFonts w:cs="仿宋_GB2312" w:asciiTheme="minorEastAsia" w:hAnsiTheme="minorEastAsia" w:eastAsiaTheme="minorEastAsia"/>
          <w:sz w:val="24"/>
          <w:shd w:val="clear" w:color="auto" w:fill="FFFFFF"/>
          <w:lang w:eastAsia="zh-CN"/>
        </w:rPr>
      </w:pPr>
      <w:r>
        <w:rPr>
          <w:rFonts w:hint="eastAsia" w:cs="仿宋_GB2312" w:asciiTheme="minorEastAsia" w:hAnsiTheme="minorEastAsia" w:eastAsiaTheme="minorEastAsia"/>
          <w:sz w:val="24"/>
          <w:shd w:val="clear" w:color="auto" w:fill="FFFFFF"/>
          <w:lang w:eastAsia="zh-CN"/>
        </w:rPr>
        <w:t>1、承包方须严格遵守</w:t>
      </w:r>
      <w:r>
        <w:rPr>
          <w:rFonts w:hint="eastAsia" w:asciiTheme="minorEastAsia" w:hAnsiTheme="minorEastAsia" w:eastAsiaTheme="minorEastAsia"/>
          <w:sz w:val="24"/>
          <w:shd w:val="clear" w:color="auto" w:fill="FFFFFF"/>
          <w:lang w:eastAsia="zh-CN"/>
        </w:rPr>
        <w:t>福海创</w:t>
      </w:r>
      <w:r>
        <w:rPr>
          <w:rFonts w:hint="eastAsia" w:cs="仿宋_GB2312" w:asciiTheme="minorEastAsia" w:hAnsiTheme="minorEastAsia" w:eastAsiaTheme="minorEastAsia"/>
          <w:sz w:val="24"/>
          <w:shd w:val="clear" w:color="auto" w:fill="FFFFFF"/>
          <w:lang w:eastAsia="zh-CN"/>
        </w:rPr>
        <w:t>安全作业规定，对于违规行为</w:t>
      </w:r>
      <w:r>
        <w:rPr>
          <w:rFonts w:hint="eastAsia" w:asciiTheme="minorEastAsia" w:hAnsiTheme="minorEastAsia" w:eastAsiaTheme="minorEastAsia"/>
          <w:sz w:val="24"/>
          <w:shd w:val="clear" w:color="auto" w:fill="FFFFFF"/>
          <w:lang w:eastAsia="zh-CN"/>
        </w:rPr>
        <w:t>福海创</w:t>
      </w:r>
      <w:r>
        <w:rPr>
          <w:rFonts w:hint="eastAsia" w:cs="仿宋_GB2312" w:asciiTheme="minorEastAsia" w:hAnsiTheme="minorEastAsia" w:eastAsiaTheme="minorEastAsia"/>
          <w:sz w:val="24"/>
          <w:shd w:val="clear" w:color="auto" w:fill="FFFFFF"/>
          <w:lang w:eastAsia="zh-CN"/>
        </w:rPr>
        <w:t>有权依照《安全查核与奖惩办法》处理。</w:t>
      </w:r>
    </w:p>
    <w:p>
      <w:pPr>
        <w:pStyle w:val="75"/>
        <w:adjustRightInd w:val="0"/>
        <w:snapToGrid w:val="0"/>
        <w:spacing w:line="276" w:lineRule="auto"/>
        <w:ind w:firstLine="446" w:firstLineChars="186"/>
        <w:rPr>
          <w:rFonts w:asciiTheme="minorEastAsia" w:hAnsiTheme="minorEastAsia" w:eastAsiaTheme="minorEastAsia"/>
          <w:bCs/>
          <w:sz w:val="24"/>
          <w:shd w:val="clear" w:color="auto" w:fill="FFFFFF"/>
          <w:lang w:eastAsia="zh-CN"/>
        </w:rPr>
      </w:pPr>
      <w:r>
        <w:rPr>
          <w:rFonts w:hint="eastAsia" w:asciiTheme="minorEastAsia" w:hAnsiTheme="minorEastAsia" w:eastAsiaTheme="minorEastAsia"/>
          <w:bCs/>
          <w:sz w:val="24"/>
          <w:shd w:val="clear" w:color="auto" w:fill="FFFFFF"/>
          <w:lang w:eastAsia="zh-CN"/>
        </w:rPr>
        <w:t>2、违约解除条款</w:t>
      </w:r>
    </w:p>
    <w:p>
      <w:pPr>
        <w:pStyle w:val="75"/>
        <w:adjustRightInd w:val="0"/>
        <w:snapToGrid w:val="0"/>
        <w:spacing w:line="276" w:lineRule="auto"/>
        <w:ind w:firstLine="446" w:firstLineChars="186"/>
        <w:rPr>
          <w:rFonts w:asciiTheme="minorEastAsia" w:hAnsiTheme="minorEastAsia" w:eastAsiaTheme="minorEastAsia"/>
          <w:bCs/>
          <w:sz w:val="24"/>
          <w:shd w:val="clear" w:color="auto" w:fill="FFFFFF"/>
          <w:lang w:eastAsia="zh-CN"/>
        </w:rPr>
      </w:pPr>
      <w:r>
        <w:rPr>
          <w:rFonts w:hint="eastAsia" w:asciiTheme="minorEastAsia" w:hAnsiTheme="minorEastAsia" w:eastAsiaTheme="minorEastAsia"/>
          <w:bCs/>
          <w:sz w:val="24"/>
          <w:shd w:val="clear" w:color="auto" w:fill="FFFFFF"/>
          <w:lang w:eastAsia="zh-CN"/>
        </w:rPr>
        <w:t>承包方有下列情形之一，发包人可终止或解除本合同：</w:t>
      </w:r>
    </w:p>
    <w:p>
      <w:pPr>
        <w:pStyle w:val="75"/>
        <w:adjustRightInd w:val="0"/>
        <w:snapToGrid w:val="0"/>
        <w:spacing w:line="276" w:lineRule="auto"/>
        <w:ind w:firstLine="446" w:firstLineChars="186"/>
        <w:rPr>
          <w:rFonts w:asciiTheme="minorEastAsia" w:hAnsiTheme="minorEastAsia" w:eastAsiaTheme="minorEastAsia"/>
          <w:bCs/>
          <w:sz w:val="24"/>
          <w:shd w:val="clear" w:color="auto" w:fill="FFFFFF"/>
          <w:lang w:eastAsia="zh-CN"/>
        </w:rPr>
      </w:pPr>
      <w:r>
        <w:rPr>
          <w:rFonts w:hint="eastAsia" w:asciiTheme="minorEastAsia" w:hAnsiTheme="minorEastAsia" w:eastAsiaTheme="minorEastAsia"/>
          <w:bCs/>
          <w:sz w:val="24"/>
          <w:shd w:val="clear" w:color="auto" w:fill="FFFFFF"/>
        </w:rPr>
        <w:fldChar w:fldCharType="begin"/>
      </w:r>
      <w:r>
        <w:rPr>
          <w:rFonts w:hint="eastAsia" w:asciiTheme="minorEastAsia" w:hAnsiTheme="minorEastAsia" w:eastAsiaTheme="minorEastAsia"/>
          <w:bCs/>
          <w:sz w:val="24"/>
          <w:shd w:val="clear" w:color="auto" w:fill="FFFFFF"/>
          <w:lang w:eastAsia="zh-CN"/>
        </w:rPr>
        <w:instrText xml:space="preserve"> eq \o\ac(○,1)</w:instrText>
      </w:r>
      <w:r>
        <w:rPr>
          <w:rFonts w:hint="eastAsia" w:asciiTheme="minorEastAsia" w:hAnsiTheme="minorEastAsia" w:eastAsiaTheme="minorEastAsia"/>
          <w:bCs/>
          <w:sz w:val="24"/>
          <w:shd w:val="clear" w:color="auto" w:fill="FFFFFF"/>
        </w:rPr>
        <w:fldChar w:fldCharType="end"/>
      </w:r>
      <w:r>
        <w:rPr>
          <w:rFonts w:hint="eastAsia" w:asciiTheme="minorEastAsia" w:hAnsiTheme="minorEastAsia" w:eastAsiaTheme="minorEastAsia"/>
          <w:bCs/>
          <w:sz w:val="24"/>
          <w:shd w:val="clear" w:color="auto" w:fill="FFFFFF"/>
          <w:lang w:eastAsia="zh-CN"/>
        </w:rPr>
        <w:t>.承包方技术服务人员、施工作业人员、机具设备不足，无法满足合约要求。</w:t>
      </w:r>
    </w:p>
    <w:p>
      <w:pPr>
        <w:pStyle w:val="75"/>
        <w:adjustRightInd w:val="0"/>
        <w:snapToGrid w:val="0"/>
        <w:spacing w:line="276" w:lineRule="auto"/>
        <w:ind w:firstLine="446" w:firstLineChars="186"/>
        <w:rPr>
          <w:rFonts w:asciiTheme="minorEastAsia" w:hAnsiTheme="minorEastAsia" w:eastAsiaTheme="minorEastAsia"/>
          <w:bCs/>
          <w:sz w:val="24"/>
          <w:shd w:val="clear" w:color="auto" w:fill="FFFFFF"/>
          <w:lang w:eastAsia="zh-CN"/>
        </w:rPr>
      </w:pPr>
      <w:r>
        <w:rPr>
          <w:rFonts w:hint="eastAsia" w:asciiTheme="minorEastAsia" w:hAnsiTheme="minorEastAsia" w:eastAsiaTheme="minorEastAsia"/>
          <w:bCs/>
          <w:sz w:val="24"/>
          <w:shd w:val="clear" w:color="auto" w:fill="FFFFFF"/>
          <w:lang w:eastAsia="zh-CN"/>
        </w:rPr>
        <w:t>②.承包方违反本合同条款规定或发生事故不能履行合约。</w:t>
      </w:r>
    </w:p>
    <w:p>
      <w:pPr>
        <w:pStyle w:val="75"/>
        <w:adjustRightInd w:val="0"/>
        <w:snapToGrid w:val="0"/>
        <w:spacing w:line="276" w:lineRule="auto"/>
        <w:ind w:firstLine="446" w:firstLineChars="186"/>
        <w:rPr>
          <w:rFonts w:asciiTheme="minorEastAsia" w:hAnsiTheme="minorEastAsia" w:eastAsiaTheme="minorEastAsia"/>
          <w:bCs/>
          <w:sz w:val="24"/>
          <w:shd w:val="clear" w:color="auto" w:fill="FFFFFF"/>
          <w:lang w:eastAsia="zh-CN"/>
        </w:rPr>
      </w:pPr>
      <w:r>
        <w:rPr>
          <w:rFonts w:hint="eastAsia" w:asciiTheme="minorEastAsia" w:hAnsiTheme="minorEastAsia" w:eastAsiaTheme="minorEastAsia"/>
          <w:bCs/>
          <w:sz w:val="24"/>
          <w:shd w:val="clear" w:color="auto" w:fill="FFFFFF"/>
          <w:lang w:eastAsia="zh-CN"/>
        </w:rPr>
        <w:t>③.承包方人员有偷窃、破坏发包方财产等违章、违法行为时。</w:t>
      </w:r>
    </w:p>
    <w:p>
      <w:pPr>
        <w:pStyle w:val="75"/>
        <w:adjustRightInd w:val="0"/>
        <w:snapToGrid w:val="0"/>
        <w:spacing w:line="276" w:lineRule="auto"/>
        <w:ind w:firstLine="446" w:firstLineChars="186"/>
        <w:rPr>
          <w:rFonts w:asciiTheme="minorEastAsia" w:hAnsiTheme="minorEastAsia" w:eastAsiaTheme="minorEastAsia"/>
          <w:bCs/>
          <w:sz w:val="24"/>
          <w:shd w:val="clear" w:color="auto" w:fill="FFFFFF"/>
          <w:lang w:eastAsia="zh-CN"/>
        </w:rPr>
      </w:pPr>
      <w:r>
        <w:rPr>
          <w:rFonts w:hint="eastAsia" w:asciiTheme="minorEastAsia" w:hAnsiTheme="minorEastAsia" w:eastAsiaTheme="minorEastAsia"/>
          <w:bCs/>
          <w:sz w:val="24"/>
          <w:shd w:val="clear" w:color="auto" w:fill="FFFFFF"/>
          <w:lang w:eastAsia="zh-CN"/>
        </w:rPr>
        <w:t>④.承包方有其他违反约定的行为3次以上。</w:t>
      </w:r>
    </w:p>
    <w:p>
      <w:pPr>
        <w:pStyle w:val="75"/>
        <w:adjustRightInd w:val="0"/>
        <w:snapToGrid w:val="0"/>
        <w:spacing w:line="276" w:lineRule="auto"/>
        <w:ind w:firstLine="446" w:firstLineChars="186"/>
        <w:rPr>
          <w:rFonts w:asciiTheme="minorEastAsia" w:hAnsiTheme="minorEastAsia" w:eastAsiaTheme="minorEastAsia"/>
          <w:bCs/>
          <w:sz w:val="24"/>
          <w:shd w:val="clear" w:color="auto" w:fill="FFFFFF"/>
          <w:lang w:eastAsia="zh-CN"/>
        </w:rPr>
      </w:pPr>
      <w:r>
        <w:rPr>
          <w:rFonts w:hint="eastAsia" w:asciiTheme="minorEastAsia" w:hAnsiTheme="minorEastAsia" w:eastAsiaTheme="minorEastAsia"/>
          <w:bCs/>
          <w:sz w:val="24"/>
          <w:shd w:val="clear" w:color="auto" w:fill="FFFFFF"/>
          <w:lang w:eastAsia="zh-CN"/>
        </w:rPr>
        <w:t>⑤.承包方提供的设备、材料严重不符约定标准，经两次纠正仍达不到标准时。</w:t>
      </w:r>
    </w:p>
    <w:p>
      <w:pPr>
        <w:pStyle w:val="75"/>
        <w:adjustRightInd w:val="0"/>
        <w:snapToGrid w:val="0"/>
        <w:spacing w:line="276" w:lineRule="auto"/>
        <w:ind w:firstLine="446" w:firstLineChars="186"/>
        <w:rPr>
          <w:rFonts w:asciiTheme="minorEastAsia" w:hAnsiTheme="minorEastAsia" w:eastAsiaTheme="minorEastAsia"/>
          <w:bCs/>
          <w:sz w:val="24"/>
          <w:shd w:val="clear" w:color="auto" w:fill="FFFFFF"/>
          <w:lang w:eastAsia="zh-CN"/>
        </w:rPr>
      </w:pPr>
      <w:r>
        <w:rPr>
          <w:rFonts w:hint="eastAsia" w:asciiTheme="minorEastAsia" w:hAnsiTheme="minorEastAsia" w:eastAsiaTheme="minorEastAsia"/>
          <w:bCs/>
          <w:sz w:val="24"/>
          <w:shd w:val="clear" w:color="auto" w:fill="FFFFFF"/>
          <w:lang w:eastAsia="zh-CN"/>
        </w:rPr>
        <w:t>⑥.承包方不执行合同约定的义务。</w:t>
      </w:r>
    </w:p>
    <w:p>
      <w:pPr>
        <w:pStyle w:val="75"/>
        <w:adjustRightInd w:val="0"/>
        <w:snapToGrid w:val="0"/>
        <w:spacing w:line="276" w:lineRule="auto"/>
        <w:ind w:firstLine="446" w:firstLineChars="186"/>
        <w:rPr>
          <w:rFonts w:asciiTheme="minorEastAsia" w:hAnsiTheme="minorEastAsia" w:eastAsiaTheme="minorEastAsia"/>
          <w:bCs/>
          <w:sz w:val="24"/>
          <w:shd w:val="clear" w:color="auto" w:fill="FFFFFF"/>
          <w:lang w:eastAsia="zh-CN"/>
        </w:rPr>
      </w:pPr>
      <w:r>
        <w:rPr>
          <w:rFonts w:asciiTheme="minorEastAsia" w:hAnsiTheme="minorEastAsia" w:eastAsiaTheme="minorEastAsia"/>
          <w:bCs/>
          <w:sz w:val="24"/>
          <w:shd w:val="clear" w:color="auto" w:fill="FFFFFF"/>
        </w:rPr>
        <w:fldChar w:fldCharType="begin"/>
      </w:r>
      <w:r>
        <w:rPr>
          <w:rFonts w:asciiTheme="minorEastAsia" w:hAnsiTheme="minorEastAsia" w:eastAsiaTheme="minorEastAsia"/>
          <w:bCs/>
          <w:sz w:val="24"/>
          <w:shd w:val="clear" w:color="auto" w:fill="FFFFFF"/>
          <w:lang w:eastAsia="zh-CN"/>
        </w:rPr>
        <w:instrText xml:space="preserve"> </w:instrText>
      </w:r>
      <w:r>
        <w:rPr>
          <w:rFonts w:hint="eastAsia" w:asciiTheme="minorEastAsia" w:hAnsiTheme="minorEastAsia" w:eastAsiaTheme="minorEastAsia"/>
          <w:bCs/>
          <w:sz w:val="24"/>
          <w:shd w:val="clear" w:color="auto" w:fill="FFFFFF"/>
          <w:lang w:eastAsia="zh-CN"/>
        </w:rPr>
        <w:instrText xml:space="preserve">= 7 \* GB3</w:instrText>
      </w:r>
      <w:r>
        <w:rPr>
          <w:rFonts w:asciiTheme="minorEastAsia" w:hAnsiTheme="minorEastAsia" w:eastAsiaTheme="minorEastAsia"/>
          <w:bCs/>
          <w:sz w:val="24"/>
          <w:shd w:val="clear" w:color="auto" w:fill="FFFFFF"/>
          <w:lang w:eastAsia="zh-CN"/>
        </w:rPr>
        <w:instrText xml:space="preserve"> </w:instrText>
      </w:r>
      <w:r>
        <w:rPr>
          <w:rFonts w:asciiTheme="minorEastAsia" w:hAnsiTheme="minorEastAsia" w:eastAsiaTheme="minorEastAsia"/>
          <w:bCs/>
          <w:sz w:val="24"/>
          <w:shd w:val="clear" w:color="auto" w:fill="FFFFFF"/>
        </w:rPr>
        <w:fldChar w:fldCharType="separate"/>
      </w:r>
      <w:r>
        <w:rPr>
          <w:rFonts w:hint="eastAsia" w:asciiTheme="minorEastAsia" w:hAnsiTheme="minorEastAsia" w:eastAsiaTheme="minorEastAsia"/>
          <w:bCs/>
          <w:sz w:val="24"/>
          <w:shd w:val="clear" w:color="auto" w:fill="FFFFFF"/>
          <w:lang w:eastAsia="zh-CN"/>
        </w:rPr>
        <w:t>⑦</w:t>
      </w:r>
      <w:r>
        <w:rPr>
          <w:rFonts w:asciiTheme="minorEastAsia" w:hAnsiTheme="minorEastAsia" w:eastAsiaTheme="minorEastAsia"/>
          <w:bCs/>
          <w:sz w:val="24"/>
          <w:shd w:val="clear" w:color="auto" w:fill="FFFFFF"/>
        </w:rPr>
        <w:fldChar w:fldCharType="end"/>
      </w:r>
      <w:r>
        <w:rPr>
          <w:rFonts w:asciiTheme="minorEastAsia" w:hAnsiTheme="minorEastAsia" w:eastAsiaTheme="minorEastAsia"/>
          <w:bCs/>
          <w:sz w:val="24"/>
          <w:shd w:val="clear" w:color="auto" w:fill="FFFFFF"/>
          <w:lang w:eastAsia="zh-CN"/>
        </w:rPr>
        <w:t>.</w:t>
      </w:r>
      <w:r>
        <w:rPr>
          <w:rFonts w:hint="eastAsia" w:asciiTheme="minorEastAsia" w:hAnsiTheme="minorEastAsia" w:eastAsiaTheme="minorEastAsia"/>
          <w:bCs/>
          <w:sz w:val="24"/>
          <w:shd w:val="clear" w:color="auto" w:fill="FFFFFF"/>
          <w:lang w:eastAsia="zh-CN"/>
        </w:rPr>
        <w:t>承包方未能按时提供质保服务，给发包方或者第三方遭受人身或经济损失的。</w:t>
      </w:r>
    </w:p>
    <w:p>
      <w:pPr>
        <w:pStyle w:val="75"/>
        <w:adjustRightInd w:val="0"/>
        <w:snapToGrid w:val="0"/>
        <w:spacing w:line="276" w:lineRule="auto"/>
        <w:ind w:firstLine="446" w:firstLineChars="186"/>
        <w:rPr>
          <w:rFonts w:asciiTheme="minorEastAsia" w:hAnsiTheme="minorEastAsia" w:eastAsiaTheme="minorEastAsia"/>
          <w:bCs/>
          <w:sz w:val="24"/>
          <w:shd w:val="clear" w:color="auto" w:fill="FFFFFF"/>
          <w:lang w:eastAsia="zh-CN"/>
        </w:rPr>
      </w:pPr>
      <w:r>
        <w:rPr>
          <w:rFonts w:asciiTheme="minorEastAsia" w:hAnsiTheme="minorEastAsia" w:eastAsiaTheme="minorEastAsia"/>
          <w:bCs/>
          <w:sz w:val="24"/>
          <w:shd w:val="clear" w:color="auto" w:fill="FFFFFF"/>
        </w:rPr>
        <w:fldChar w:fldCharType="begin"/>
      </w:r>
      <w:r>
        <w:rPr>
          <w:rFonts w:asciiTheme="minorEastAsia" w:hAnsiTheme="minorEastAsia" w:eastAsiaTheme="minorEastAsia"/>
          <w:bCs/>
          <w:sz w:val="24"/>
          <w:shd w:val="clear" w:color="auto" w:fill="FFFFFF"/>
          <w:lang w:eastAsia="zh-CN"/>
        </w:rPr>
        <w:instrText xml:space="preserve"> </w:instrText>
      </w:r>
      <w:r>
        <w:rPr>
          <w:rFonts w:hint="eastAsia" w:asciiTheme="minorEastAsia" w:hAnsiTheme="minorEastAsia" w:eastAsiaTheme="minorEastAsia"/>
          <w:bCs/>
          <w:sz w:val="24"/>
          <w:shd w:val="clear" w:color="auto" w:fill="FFFFFF"/>
          <w:lang w:eastAsia="zh-CN"/>
        </w:rPr>
        <w:instrText xml:space="preserve">= 8 \* GB3</w:instrText>
      </w:r>
      <w:r>
        <w:rPr>
          <w:rFonts w:asciiTheme="minorEastAsia" w:hAnsiTheme="minorEastAsia" w:eastAsiaTheme="minorEastAsia"/>
          <w:bCs/>
          <w:sz w:val="24"/>
          <w:shd w:val="clear" w:color="auto" w:fill="FFFFFF"/>
          <w:lang w:eastAsia="zh-CN"/>
        </w:rPr>
        <w:instrText xml:space="preserve"> </w:instrText>
      </w:r>
      <w:r>
        <w:rPr>
          <w:rFonts w:asciiTheme="minorEastAsia" w:hAnsiTheme="minorEastAsia" w:eastAsiaTheme="minorEastAsia"/>
          <w:bCs/>
          <w:sz w:val="24"/>
          <w:shd w:val="clear" w:color="auto" w:fill="FFFFFF"/>
        </w:rPr>
        <w:fldChar w:fldCharType="separate"/>
      </w:r>
      <w:r>
        <w:rPr>
          <w:rFonts w:hint="eastAsia" w:asciiTheme="minorEastAsia" w:hAnsiTheme="minorEastAsia" w:eastAsiaTheme="minorEastAsia"/>
          <w:bCs/>
          <w:sz w:val="24"/>
          <w:shd w:val="clear" w:color="auto" w:fill="FFFFFF"/>
          <w:lang w:eastAsia="zh-CN"/>
        </w:rPr>
        <w:t>⑧</w:t>
      </w:r>
      <w:r>
        <w:rPr>
          <w:rFonts w:asciiTheme="minorEastAsia" w:hAnsiTheme="minorEastAsia" w:eastAsiaTheme="minorEastAsia"/>
          <w:bCs/>
          <w:sz w:val="24"/>
          <w:shd w:val="clear" w:color="auto" w:fill="FFFFFF"/>
        </w:rPr>
        <w:fldChar w:fldCharType="end"/>
      </w:r>
      <w:r>
        <w:rPr>
          <w:rFonts w:asciiTheme="minorEastAsia" w:hAnsiTheme="minorEastAsia" w:eastAsiaTheme="minorEastAsia"/>
          <w:bCs/>
          <w:sz w:val="24"/>
          <w:shd w:val="clear" w:color="auto" w:fill="FFFFFF"/>
          <w:lang w:eastAsia="zh-CN"/>
        </w:rPr>
        <w:t>.</w:t>
      </w:r>
      <w:r>
        <w:rPr>
          <w:rFonts w:hint="eastAsia" w:asciiTheme="minorEastAsia" w:hAnsiTheme="minorEastAsia" w:eastAsiaTheme="minorEastAsia"/>
          <w:bCs/>
          <w:sz w:val="24"/>
          <w:shd w:val="clear" w:color="auto" w:fill="FFFFFF"/>
          <w:lang w:eastAsia="zh-CN"/>
        </w:rPr>
        <w:t>承包方违反福海创相关管理规定。</w:t>
      </w:r>
    </w:p>
    <w:p>
      <w:pPr>
        <w:pStyle w:val="75"/>
        <w:adjustRightInd w:val="0"/>
        <w:snapToGrid w:val="0"/>
        <w:spacing w:line="276" w:lineRule="auto"/>
        <w:ind w:firstLine="446" w:firstLineChars="186"/>
        <w:rPr>
          <w:rFonts w:asciiTheme="minorEastAsia" w:hAnsiTheme="minorEastAsia" w:eastAsiaTheme="minorEastAsia"/>
          <w:bCs/>
          <w:sz w:val="24"/>
          <w:shd w:val="clear" w:color="auto" w:fill="FFFFFF"/>
          <w:lang w:eastAsia="zh-CN"/>
        </w:rPr>
      </w:pPr>
      <w:r>
        <w:rPr>
          <w:rFonts w:hint="eastAsia" w:asciiTheme="minorEastAsia" w:hAnsiTheme="minorEastAsia" w:eastAsiaTheme="minorEastAsia"/>
          <w:bCs/>
          <w:sz w:val="24"/>
          <w:shd w:val="clear" w:color="auto" w:fill="FFFFFF"/>
          <w:lang w:eastAsia="zh-CN"/>
        </w:rPr>
        <w:t>承包方若因上述原因被终止或解除合约时，在福海创书面通知中止合同后，承包人必须无条件配合交接，否则造成的一切损失由承包人承担。</w:t>
      </w:r>
    </w:p>
    <w:p>
      <w:pPr>
        <w:spacing w:line="420" w:lineRule="exact"/>
        <w:rPr>
          <w:rFonts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十一、质</w:t>
      </w:r>
      <w:bookmarkStart w:id="28" w:name="_Toc438976266"/>
      <w:bookmarkStart w:id="29" w:name="_Toc435536732"/>
      <w:bookmarkStart w:id="30" w:name="_Toc426390510"/>
      <w:bookmarkStart w:id="31" w:name="_Toc436558125"/>
      <w:bookmarkStart w:id="32" w:name="_Toc422824622"/>
      <w:bookmarkStart w:id="33" w:name="_Toc345828"/>
      <w:bookmarkStart w:id="34" w:name="_Toc426390430"/>
      <w:bookmarkStart w:id="35" w:name="_Toc170491903"/>
      <w:bookmarkStart w:id="36" w:name="_Toc402583302"/>
      <w:r>
        <w:rPr>
          <w:rFonts w:hint="eastAsia" w:asciiTheme="minorEastAsia" w:hAnsiTheme="minorEastAsia" w:eastAsiaTheme="minorEastAsia"/>
          <w:b/>
          <w:bCs/>
          <w:sz w:val="24"/>
          <w:lang w:eastAsia="zh-CN"/>
        </w:rPr>
        <w:t>量保证</w:t>
      </w:r>
      <w:bookmarkEnd w:id="27"/>
      <w:bookmarkEnd w:id="28"/>
      <w:bookmarkEnd w:id="29"/>
      <w:bookmarkEnd w:id="30"/>
      <w:bookmarkEnd w:id="31"/>
      <w:bookmarkEnd w:id="32"/>
      <w:bookmarkEnd w:id="33"/>
      <w:bookmarkEnd w:id="34"/>
      <w:bookmarkEnd w:id="35"/>
      <w:bookmarkEnd w:id="36"/>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1、产品的检验及验收试验均遵照有关规定和标准，并满足本发包方案的要求。</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2、承包商应对所提供的设备和附件的制造质量、技术规格负有完全责任。</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3、所有设备、配件应该在出厂前进行质量检验，需具有产品合格证书，并带产品检验报告等。</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4、正常运行条件下，电解槽满载运行寿命至少5年。</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 xml:space="preserve">5、设备运抵发包人现场后，由承包商负责调试和指导安装，确保设备正常投运，并负责免费对用户相关人员进行原理性讲解和运行保养注意事项说明。 </w:t>
      </w:r>
    </w:p>
    <w:p>
      <w:pPr>
        <w:spacing w:line="420" w:lineRule="exact"/>
        <w:rPr>
          <w:rFonts w:asciiTheme="minorEastAsia" w:hAnsiTheme="minorEastAsia" w:eastAsiaTheme="minorEastAsia"/>
          <w:b/>
          <w:bCs/>
          <w:sz w:val="24"/>
          <w:lang w:eastAsia="zh-CN"/>
        </w:rPr>
      </w:pPr>
      <w:bookmarkStart w:id="37" w:name="_Toc84079337"/>
      <w:bookmarkStart w:id="38" w:name="_Toc84686540"/>
      <w:bookmarkStart w:id="39" w:name="_Toc85103708"/>
      <w:bookmarkStart w:id="40" w:name="_Toc14717"/>
      <w:r>
        <w:rPr>
          <w:rFonts w:hint="eastAsia" w:asciiTheme="minorEastAsia" w:hAnsiTheme="minorEastAsia" w:eastAsiaTheme="minorEastAsia"/>
          <w:b/>
          <w:bCs/>
          <w:sz w:val="24"/>
          <w:lang w:eastAsia="zh-CN"/>
        </w:rPr>
        <w:t>十二、服</w:t>
      </w:r>
      <w:bookmarkStart w:id="41" w:name="_Toc170491904"/>
      <w:bookmarkStart w:id="42" w:name="_Toc436558126"/>
      <w:bookmarkStart w:id="43" w:name="_Toc422824623"/>
      <w:bookmarkStart w:id="44" w:name="_Toc435536733"/>
      <w:bookmarkStart w:id="45" w:name="_Toc426390511"/>
      <w:bookmarkStart w:id="46" w:name="_Toc345829"/>
      <w:bookmarkStart w:id="47" w:name="_Toc402583303"/>
      <w:bookmarkStart w:id="48" w:name="_Toc426390431"/>
      <w:bookmarkStart w:id="49" w:name="_Toc438976267"/>
      <w:r>
        <w:rPr>
          <w:rFonts w:hint="eastAsia" w:asciiTheme="minorEastAsia" w:hAnsiTheme="minorEastAsia" w:eastAsiaTheme="minorEastAsia"/>
          <w:b/>
          <w:bCs/>
          <w:sz w:val="24"/>
          <w:lang w:eastAsia="zh-CN"/>
        </w:rPr>
        <w:t>务和维修</w:t>
      </w:r>
      <w:bookmarkEnd w:id="37"/>
      <w:bookmarkEnd w:id="38"/>
      <w:bookmarkEnd w:id="39"/>
      <w:bookmarkEnd w:id="40"/>
    </w:p>
    <w:bookmarkEnd w:id="41"/>
    <w:bookmarkEnd w:id="42"/>
    <w:bookmarkEnd w:id="43"/>
    <w:bookmarkEnd w:id="44"/>
    <w:bookmarkEnd w:id="45"/>
    <w:bookmarkEnd w:id="46"/>
    <w:bookmarkEnd w:id="47"/>
    <w:bookmarkEnd w:id="48"/>
    <w:bookmarkEnd w:id="49"/>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1、质量保证期为调试完成投运后5年。如产品出现质量问题，质保期应从产品排除缺陷时间后从新开始计算。</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2、在质量保证期，承包商应保证及时免费更换或修复存在的缺陷而导致故障和损坏的产品（除不可抗拒力)，用来更换的设备和配件应是满足本技术要求的产品。</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3、供货方应对设备的售后技术服务、使用与维修技术咨询提供良好的保证，保证全年提供免费热线技术服务。</w:t>
      </w:r>
    </w:p>
    <w:p>
      <w:pPr>
        <w:spacing w:line="420" w:lineRule="exact"/>
        <w:rPr>
          <w:rFonts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十三、特别说明</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1、本技术条款是对本招标工程的最低限度要求。承包方施工质量必须符合发包方提供的相关要求以及相应的国家法律法规、标准规范要求。</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2、承包方对本技术条款的严格遵守并不意味着可以解除其正确选材、施工、检试验、验收以及满足规定的操作工况等所应承担的责任，并对施工过程中涉及到的健康、安全和环境保护、消防等全面负责。</w:t>
      </w:r>
    </w:p>
    <w:p>
      <w:pPr>
        <w:widowControl/>
        <w:shd w:val="clear" w:color="auto" w:fill="FFFFFF"/>
        <w:spacing w:line="276"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3、本工程承包方报价前应到现场实地踏勘确认，在不影响和危及现有电解槽设备及其功能的前提下，须自行评估本项目施工的可行性、安全性，提出安全施工的防护措施及应急方案；承包方须承担因施工危险因素考虑不周而产生后果的一切责任，所涉及的安全费用、责任风险费用均含于总包价内。</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spacing w:line="520" w:lineRule="exact"/>
        <w:rPr>
          <w:b/>
          <w:sz w:val="28"/>
          <w:szCs w:val="28"/>
          <w:lang w:eastAsia="zh-CN"/>
        </w:rPr>
      </w:pPr>
      <w:r>
        <w:rPr>
          <w:rFonts w:hint="eastAsia"/>
          <w:b/>
          <w:sz w:val="28"/>
          <w:szCs w:val="28"/>
          <w:lang w:eastAsia="zh-CN"/>
        </w:rPr>
        <w:t>附件2：</w:t>
      </w:r>
    </w:p>
    <w:p>
      <w:pPr>
        <w:pStyle w:val="25"/>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asciiTheme="majorEastAsia" w:hAnsiTheme="majorEastAsia" w:eastAsiaTheme="majorEastAsia"/>
          <w:sz w:val="21"/>
          <w:szCs w:val="21"/>
          <w:u w:val="single"/>
          <w:lang w:eastAsia="zh-CN"/>
        </w:rPr>
      </w:pPr>
      <w:r>
        <w:rPr>
          <w:rFonts w:hint="eastAsia" w:asciiTheme="majorEastAsia" w:hAnsiTheme="majorEastAsia" w:eastAsiaTheme="majorEastAsia"/>
          <w:sz w:val="21"/>
          <w:szCs w:val="21"/>
          <w:lang w:eastAsia="zh-CN"/>
        </w:rPr>
        <w:t>发包单位（以下简称甲方）：</w:t>
      </w:r>
      <w:r>
        <w:rPr>
          <w:rFonts w:hint="eastAsia" w:asciiTheme="majorEastAsia" w:hAnsiTheme="majorEastAsia" w:eastAsiaTheme="majorEastAsia"/>
          <w:sz w:val="21"/>
          <w:szCs w:val="21"/>
          <w:u w:val="single"/>
          <w:lang w:eastAsia="zh-CN"/>
        </w:rPr>
        <w:t xml:space="preserve">  翔鹭石化（漳州）有限公司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承包单位（以下简称乙方）：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双方就PTA海水泵站电解R8012-1电解槽更新项目签订了</w:t>
      </w:r>
      <w:r>
        <w:rPr>
          <w:rFonts w:hint="eastAsia" w:asciiTheme="majorEastAsia" w:hAnsiTheme="majorEastAsia" w:eastAsiaTheme="majorEastAsia"/>
          <w:sz w:val="21"/>
          <w:szCs w:val="21"/>
          <w:u w:val="single"/>
          <w:lang w:eastAsia="zh-CN"/>
        </w:rPr>
        <w:t xml:space="preserve"> 技术服务  </w:t>
      </w:r>
      <w:r>
        <w:rPr>
          <w:rFonts w:hint="eastAsia" w:asciiTheme="majorEastAsia" w:hAnsiTheme="majorEastAsia" w:eastAsiaTheme="major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一、甲方的权利和义务：</w:t>
      </w:r>
    </w:p>
    <w:p>
      <w:pPr>
        <w:pStyle w:val="75"/>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 甲方有权对乙方的资质进行审查，确认其符合且具备进厂条件，方可进厂施工。</w:t>
      </w:r>
    </w:p>
    <w:p>
      <w:pPr>
        <w:pStyle w:val="75"/>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甲方有权要求乙方维护好甲方相关的安全环保设施、设备和器材。</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5、 甲方有权对乙方不服从管理和严重违章者，驱除施工现场。</w:t>
      </w:r>
    </w:p>
    <w:p>
      <w:pPr>
        <w:pStyle w:val="75"/>
        <w:spacing w:line="360" w:lineRule="auto"/>
        <w:ind w:left="-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6、 甲方负责对乙方进行厂级和部门级安全培训教育和考核，考核合格方可办理入厂手续。</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 甲方负责各装置的工艺处理、退料、置换、吹扫及盲板隔离工作，为本项目提供安全的施工条件。</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甲方应乙方要求，向乙方提供与乙方作业相关的甲方有毒有害、易燃易爆物品的数据。</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甲方在开工前必须对乙方进行全面的安全技术及文明施工交底。</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二、乙方的权利和义务：</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乙方有权对甲方安全管理工作提出合理化建议或改进措施。</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 乙方对甲方管理人员违章指挥、强令冒险作业、有权拒绝执行。对打击和报复行为有权向上级和有关部门汇报。 </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乙方对危及生命安全和身体健康的施工作业条件和环境，有权提出整改建议或拒绝施工作业。</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乙方施工过程中在发生严重危及作业人员生命安全的不可抗拒紧急情况时，有权采取必要的避险措施，并立即向管理部门报告。</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 乙方有权要求甲方提供相关的安全资料。</w:t>
      </w:r>
    </w:p>
    <w:p>
      <w:pPr>
        <w:spacing w:line="360" w:lineRule="auto"/>
        <w:ind w:left="-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 xml:space="preserve">7、 </w:t>
      </w:r>
      <w:r>
        <w:rPr>
          <w:rFonts w:hint="eastAsia" w:cs="Arial" w:asciiTheme="majorEastAsia" w:hAnsiTheme="majorEastAsia" w:eastAsiaTheme="majorEastAsia"/>
          <w:sz w:val="21"/>
          <w:szCs w:val="21"/>
          <w:lang w:eastAsia="zh-CN"/>
        </w:rPr>
        <w:t>乙方必须建立健全HSE管理网络、HSE保证体系和HSE责任制，成立专职HSE管理机构</w:t>
      </w:r>
      <w:r>
        <w:rPr>
          <w:rFonts w:hint="eastAsia" w:asciiTheme="majorEastAsia" w:hAnsiTheme="majorEastAsia" w:eastAsiaTheme="majorEastAsia"/>
          <w:sz w:val="21"/>
          <w:szCs w:val="21"/>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1"/>
          <w:szCs w:val="21"/>
          <w:lang w:eastAsia="zh-CN"/>
        </w:rPr>
        <w:t>并佩戴明显标志；编制和实施各安全环保施工方案和专项应急预案。</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11、乙方应按《中华人民共和国劳动法》等法律、法规、规定用工，严禁使用未成年工和有职业禁忌的人员进行施工作业。</w:t>
      </w:r>
      <w:r>
        <w:rPr>
          <w:rFonts w:asciiTheme="majorEastAsia" w:hAnsiTheme="majorEastAsia" w:eastAsiaTheme="majorEastAsia"/>
          <w:sz w:val="21"/>
          <w:szCs w:val="21"/>
          <w:lang w:eastAsia="zh-CN"/>
        </w:rPr>
        <w:t xml:space="preserve"> </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17、 </w:t>
      </w:r>
      <w:r>
        <w:rPr>
          <w:rFonts w:hint="eastAsia" w:asciiTheme="majorEastAsia" w:hAnsiTheme="majorEastAsia" w:eastAsiaTheme="major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2"/>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 xml:space="preserve">18、 </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1"/>
          <w:szCs w:val="21"/>
          <w:lang w:eastAsia="zh-CN"/>
        </w:rPr>
        <w:t>GB 2894-2008）</w:t>
      </w:r>
      <w:r>
        <w:rPr>
          <w:rFonts w:hint="eastAsia" w:asciiTheme="majorEastAsia" w:hAnsiTheme="majorEastAsia" w:eastAsiaTheme="majorEastAsia"/>
          <w:bCs/>
          <w:sz w:val="21"/>
          <w:szCs w:val="21"/>
          <w:lang w:eastAsia="zh-CN"/>
        </w:rPr>
        <w:t>的规定。</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19、</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 乙方施工产生的</w:t>
      </w:r>
      <w:r>
        <w:rPr>
          <w:rFonts w:hint="eastAsia" w:asciiTheme="majorEastAsia" w:hAnsiTheme="majorEastAsia" w:eastAsiaTheme="majorEastAsia"/>
          <w:bCs/>
          <w:sz w:val="21"/>
          <w:szCs w:val="21"/>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1"/>
          <w:szCs w:val="21"/>
          <w:lang w:eastAsia="zh-CN"/>
        </w:rPr>
        <w:t>产生的废物应进行鉴别，一般固废和危险废物应妥善包装、分类堆放，并及时清理。不能任意排放和丢弃。</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22、 </w:t>
      </w:r>
      <w:r>
        <w:rPr>
          <w:rFonts w:hint="eastAsia" w:asciiTheme="majorEastAsia" w:hAnsiTheme="majorEastAsia" w:eastAsiaTheme="major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ajorEastAsia" w:hAnsiTheme="majorEastAsia" w:eastAsiaTheme="majorEastAsia"/>
          <w:b/>
          <w:sz w:val="21"/>
          <w:szCs w:val="21"/>
        </w:rPr>
      </w:pPr>
      <w:r>
        <w:rPr>
          <w:rFonts w:hint="eastAsia" w:asciiTheme="majorEastAsia" w:hAnsiTheme="majorEastAsia" w:eastAsiaTheme="majorEastAsia"/>
          <w:b/>
          <w:sz w:val="21"/>
          <w:szCs w:val="21"/>
        </w:rPr>
        <w:t>三、违约责任及处理</w:t>
      </w:r>
    </w:p>
    <w:p>
      <w:pPr>
        <w:pStyle w:val="75"/>
        <w:numPr>
          <w:ilvl w:val="0"/>
          <w:numId w:val="7"/>
        </w:numPr>
        <w:autoSpaceDE/>
        <w:autoSpaceDN/>
        <w:spacing w:before="0" w:line="360" w:lineRule="auto"/>
        <w:ind w:left="0" w:firstLine="0"/>
        <w:jc w:val="both"/>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乙方不得将工程违法转包、分包。</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2、发生安全事故时，甲乙双方均有抢险、救灾的义务，所发生的费用由责任方承担。</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4、甲方违约造成的事故，甲方承担全部责任，并按规定追究有关人员责任及上报。</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四、 不可抗力：</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由于不可抗力造成合同项目施工作业事故及产生的损失，甲乙双方各自承担相应的损失。</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五、</w:t>
      </w:r>
      <w:r>
        <w:rPr>
          <w:rFonts w:hint="eastAsia" w:asciiTheme="majorEastAsia" w:hAnsiTheme="majorEastAsia" w:eastAsiaTheme="majorEastAsia"/>
          <w:sz w:val="21"/>
          <w:szCs w:val="21"/>
          <w:lang w:eastAsia="zh-CN"/>
        </w:rPr>
        <w:t>本协议书一式陆份，甲方执四份，乙方执二份。</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六、</w:t>
      </w:r>
      <w:r>
        <w:rPr>
          <w:rFonts w:hint="eastAsia" w:asciiTheme="majorEastAsia" w:hAnsiTheme="majorEastAsia" w:eastAsiaTheme="majorEastAsia"/>
          <w:sz w:val="21"/>
          <w:szCs w:val="21"/>
          <w:lang w:eastAsia="zh-CN"/>
        </w:rPr>
        <w:t>本协议书经双方盖章后生效。</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七、协议期限：</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本协议期限应与主合同期限一致。如果主合同因故需要变更期限，本合同应与主同变更至相同期限。</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（以下无正文）</w:t>
      </w: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 (章)：                                  乙方(章)：</w:t>
      </w:r>
    </w:p>
    <w:p>
      <w:pPr>
        <w:pStyle w:val="20"/>
        <w:spacing w:line="360" w:lineRule="auto"/>
        <w:ind w:right="121"/>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翔鹭码头投资管理（漳州）有限公司</w:t>
      </w: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签定日期：    年    月    日                   </w:t>
      </w:r>
    </w:p>
    <w:p>
      <w:pPr>
        <w:rPr>
          <w:lang w:eastAsia="zh-CN"/>
        </w:rPr>
      </w:pPr>
    </w:p>
    <w:p>
      <w:pPr>
        <w:pStyle w:val="2"/>
        <w:sectPr>
          <w:footerReference r:id="rId6" w:type="default"/>
          <w:pgSz w:w="11910" w:h="16840"/>
          <w:pgMar w:top="1480" w:right="1120" w:bottom="740" w:left="1300" w:header="0" w:footer="487" w:gutter="0"/>
          <w:cols w:space="720" w:num="1"/>
        </w:sect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PTA海水泵站电解R8012-1电解槽更新项目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618" w:firstLineChars="221"/>
        <w:rPr>
          <w:rFonts w:cs="Times New Roman"/>
          <w:bCs w:val="0"/>
          <w:color w:val="C00000"/>
          <w:lang w:eastAsia="zh-CN"/>
        </w:rPr>
      </w:pP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7"/>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rPr>
          <w:rFonts w:ascii="Times New Roman" w:hAnsi="Times New Roman"/>
          <w:b/>
          <w:bCs/>
          <w:kern w:val="2"/>
          <w:sz w:val="36"/>
          <w:szCs w:val="36"/>
        </w:rPr>
      </w:pPr>
    </w:p>
    <w:p>
      <w:pPr>
        <w:rPr>
          <w:b/>
          <w:sz w:val="36"/>
          <w:szCs w:val="36"/>
          <w:lang w:eastAsia="zh-CN"/>
        </w:rPr>
      </w:pPr>
      <w:r>
        <w:rPr>
          <w:rFonts w:hint="eastAsia" w:ascii="Times New Roman" w:hAnsi="Times New Roman" w:cs="Times New Roman"/>
          <w:b/>
          <w:sz w:val="36"/>
          <w:szCs w:val="36"/>
          <w:lang w:eastAsia="zh-CN"/>
        </w:rPr>
        <w:t>参选报价单</w:t>
      </w:r>
    </w:p>
    <w:p>
      <w:pPr>
        <w:jc w:val="center"/>
        <w:rPr>
          <w:b/>
          <w:sz w:val="36"/>
          <w:szCs w:val="36"/>
          <w:lang w:eastAsia="zh-CN"/>
        </w:rPr>
      </w:pPr>
      <w:r>
        <w:rPr>
          <w:rFonts w:hint="eastAsia"/>
          <w:b/>
          <w:sz w:val="36"/>
          <w:szCs w:val="36"/>
          <w:lang w:eastAsia="zh-CN"/>
        </w:rPr>
        <w:t>报 价 单</w:t>
      </w:r>
    </w:p>
    <w:p>
      <w:pPr>
        <w:pStyle w:val="77"/>
        <w:spacing w:beforeLines="0" w:afterLines="0" w:line="240" w:lineRule="auto"/>
        <w:ind w:firstLineChars="0"/>
        <w:rPr>
          <w:rFonts w:ascii="Times New Roman" w:hAnsi="Times New Roman" w:cs="Times New Roman"/>
          <w:b/>
          <w:color w:val="FF0000"/>
          <w:sz w:val="24"/>
          <w:szCs w:val="24"/>
          <w:lang w:eastAsia="zh-CN"/>
        </w:rPr>
      </w:pPr>
    </w:p>
    <w:p>
      <w:pPr>
        <w:pStyle w:val="77"/>
        <w:spacing w:beforeLines="0" w:afterLines="0"/>
        <w:ind w:firstLine="0" w:firstLineChars="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w:t>
      </w:r>
      <w:r>
        <w:rPr>
          <w:rFonts w:hint="eastAsia"/>
          <w:sz w:val="24"/>
          <w:szCs w:val="24"/>
          <w:u w:val="single"/>
          <w:lang w:eastAsia="zh-CN"/>
        </w:rPr>
        <w:t xml:space="preserve">                                   </w:t>
      </w:r>
    </w:p>
    <w:p>
      <w:pPr>
        <w:pStyle w:val="20"/>
        <w:spacing w:line="360" w:lineRule="auto"/>
        <w:ind w:right="121"/>
        <w:jc w:val="both"/>
        <w:rPr>
          <w:lang w:eastAsia="zh-CN"/>
        </w:rPr>
      </w:pPr>
    </w:p>
    <w:p>
      <w:pPr>
        <w:pStyle w:val="20"/>
        <w:spacing w:line="360" w:lineRule="auto"/>
        <w:ind w:right="121"/>
        <w:jc w:val="both"/>
        <w:rPr>
          <w:color w:val="000000" w:themeColor="text1"/>
          <w:u w:val="single"/>
          <w:lang w:eastAsia="zh-CN"/>
        </w:rPr>
      </w:pPr>
      <w:r>
        <w:rPr>
          <w:rFonts w:hint="eastAsia"/>
          <w:lang w:eastAsia="zh-CN"/>
        </w:rPr>
        <w:t>项目名称：</w:t>
      </w:r>
      <w:r>
        <w:rPr>
          <w:rFonts w:hint="eastAsia"/>
          <w:color w:val="000000" w:themeColor="text1"/>
          <w:u w:val="single"/>
          <w:lang w:eastAsia="zh-CN"/>
        </w:rPr>
        <w:t>福建福海创石油化工有限公司PTA海水泵站电解R8012-1电解槽更新项目</w:t>
      </w:r>
    </w:p>
    <w:p>
      <w:pPr>
        <w:tabs>
          <w:tab w:val="left" w:pos="709"/>
        </w:tabs>
        <w:spacing w:line="360" w:lineRule="auto"/>
        <w:ind w:firstLine="480" w:firstLineChars="200"/>
        <w:rPr>
          <w:sz w:val="24"/>
          <w:szCs w:val="24"/>
          <w:lang w:eastAsia="zh-CN"/>
        </w:rPr>
      </w:pPr>
      <w:r>
        <w:rPr>
          <w:rFonts w:hint="eastAsia"/>
          <w:sz w:val="24"/>
          <w:szCs w:val="24"/>
          <w:lang w:eastAsia="zh-CN"/>
        </w:rPr>
        <w:t>因不同参选商提供设备范围不同，有些参选商可以单独提供电解电极（原电解槽壳体利旧），有些参选商则只能提供整套电解槽（含电极），现拟以下两套供货方案, 参选商选择其中一种方案进行供货：</w:t>
      </w:r>
    </w:p>
    <w:p>
      <w:pPr>
        <w:spacing w:line="360" w:lineRule="auto"/>
        <w:ind w:firstLine="480" w:firstLineChars="200"/>
        <w:rPr>
          <w:sz w:val="24"/>
          <w:szCs w:val="24"/>
          <w:lang w:eastAsia="zh-CN"/>
        </w:rPr>
      </w:pPr>
    </w:p>
    <w:p>
      <w:pPr>
        <w:tabs>
          <w:tab w:val="left" w:pos="709"/>
        </w:tabs>
        <w:spacing w:line="360" w:lineRule="auto"/>
        <w:rPr>
          <w:sz w:val="24"/>
          <w:szCs w:val="24"/>
          <w:u w:val="single"/>
          <w:lang w:eastAsia="zh-CN"/>
        </w:rPr>
      </w:pPr>
      <w:r>
        <w:rPr>
          <w:rFonts w:hint="eastAsia"/>
          <w:b/>
          <w:bCs/>
          <w:sz w:val="24"/>
          <w:szCs w:val="24"/>
          <w:lang w:eastAsia="zh-CN"/>
        </w:rPr>
        <w:t>方案一</w:t>
      </w:r>
      <w:r>
        <w:rPr>
          <w:rFonts w:hint="eastAsia"/>
          <w:sz w:val="24"/>
          <w:szCs w:val="24"/>
          <w:lang w:eastAsia="zh-CN"/>
        </w:rPr>
        <w:t>：按技术要求提供电解电极，并指导安装、调试。参选报价总计：</w:t>
      </w:r>
      <w:r>
        <w:rPr>
          <w:rFonts w:hint="eastAsia"/>
          <w:sz w:val="24"/>
          <w:szCs w:val="24"/>
          <w:u w:val="single"/>
          <w:lang w:eastAsia="zh-CN"/>
        </w:rPr>
        <w:t xml:space="preserve">   </w:t>
      </w:r>
    </w:p>
    <w:p>
      <w:pPr>
        <w:tabs>
          <w:tab w:val="left" w:pos="709"/>
        </w:tabs>
        <w:spacing w:line="360" w:lineRule="auto"/>
        <w:rPr>
          <w:sz w:val="24"/>
          <w:szCs w:val="24"/>
          <w:lang w:eastAsia="zh-CN"/>
        </w:rPr>
      </w:pPr>
      <w:r>
        <w:rPr>
          <w:rFonts w:hint="eastAsia"/>
          <w:sz w:val="24"/>
          <w:szCs w:val="24"/>
          <w:u w:val="single"/>
          <w:lang w:eastAsia="zh-CN"/>
        </w:rPr>
        <w:t xml:space="preserve">       </w:t>
      </w:r>
      <w:r>
        <w:rPr>
          <w:rFonts w:hint="eastAsia"/>
          <w:sz w:val="24"/>
          <w:szCs w:val="24"/>
          <w:lang w:eastAsia="zh-CN"/>
        </w:rPr>
        <w:t>元 （包干含税总价）</w:t>
      </w:r>
    </w:p>
    <w:p>
      <w:pPr>
        <w:tabs>
          <w:tab w:val="left" w:pos="709"/>
        </w:tabs>
        <w:spacing w:line="360" w:lineRule="auto"/>
        <w:rPr>
          <w:sz w:val="24"/>
          <w:szCs w:val="24"/>
          <w:lang w:eastAsia="zh-CN"/>
        </w:rPr>
      </w:pPr>
    </w:p>
    <w:p>
      <w:pPr>
        <w:tabs>
          <w:tab w:val="left" w:pos="709"/>
        </w:tabs>
        <w:spacing w:line="360" w:lineRule="auto"/>
        <w:rPr>
          <w:sz w:val="24"/>
          <w:szCs w:val="24"/>
          <w:lang w:eastAsia="zh-CN"/>
        </w:rPr>
      </w:pPr>
      <w:r>
        <w:rPr>
          <w:rFonts w:hint="eastAsia"/>
          <w:b/>
          <w:bCs/>
          <w:sz w:val="24"/>
          <w:szCs w:val="24"/>
          <w:lang w:eastAsia="zh-CN"/>
        </w:rPr>
        <w:t>方案二</w:t>
      </w:r>
      <w:r>
        <w:rPr>
          <w:rFonts w:hint="eastAsia"/>
          <w:sz w:val="24"/>
          <w:szCs w:val="24"/>
          <w:lang w:eastAsia="zh-CN"/>
        </w:rPr>
        <w:t>：按技术要求提供电解槽（含壳体和电极），并指导安装、调试。参选报价总计：</w:t>
      </w:r>
      <w:r>
        <w:rPr>
          <w:rFonts w:hint="eastAsia"/>
          <w:sz w:val="24"/>
          <w:szCs w:val="24"/>
          <w:u w:val="single"/>
          <w:lang w:eastAsia="zh-CN"/>
        </w:rPr>
        <w:t xml:space="preserve">            </w:t>
      </w:r>
      <w:r>
        <w:rPr>
          <w:rFonts w:hint="eastAsia"/>
          <w:sz w:val="24"/>
          <w:szCs w:val="24"/>
          <w:lang w:eastAsia="zh-CN"/>
        </w:rPr>
        <w:t>元 （包干含税总价）</w:t>
      </w:r>
    </w:p>
    <w:p>
      <w:pPr>
        <w:pStyle w:val="2"/>
        <w:numPr>
          <w:ilvl w:val="255"/>
          <w:numId w:val="0"/>
        </w:numPr>
      </w:pPr>
    </w:p>
    <w:p>
      <w:pPr>
        <w:pStyle w:val="2"/>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 </w:t>
      </w:r>
      <w:r>
        <w:rPr>
          <w:rFonts w:hint="eastAsia"/>
          <w:sz w:val="24"/>
          <w:szCs w:val="24"/>
        </w:rPr>
        <w:t>；</w:t>
      </w:r>
    </w:p>
    <w:p>
      <w:pPr>
        <w:pStyle w:val="2"/>
        <w:spacing w:line="360" w:lineRule="auto"/>
        <w:rPr>
          <w:sz w:val="24"/>
          <w:szCs w:val="24"/>
        </w:rPr>
      </w:pPr>
      <w:r>
        <w:rPr>
          <w:rFonts w:hint="eastAsia"/>
          <w:sz w:val="24"/>
          <w:szCs w:val="24"/>
        </w:rPr>
        <w:t xml:space="preserve">         2、付款方式：</w:t>
      </w:r>
      <w:r>
        <w:rPr>
          <w:rFonts w:hint="eastAsia"/>
          <w:bCs/>
          <w:sz w:val="24"/>
        </w:rPr>
        <w:t>全部款项均以电汇方式支付，验收合格后支付90%，留10%质保金</w:t>
      </w:r>
      <w:r>
        <w:rPr>
          <w:rFonts w:hint="eastAsia" w:hAnsi="宋体"/>
          <w:sz w:val="24"/>
        </w:rPr>
        <w:t>（质保期以</w:t>
      </w:r>
      <w:r>
        <w:rPr>
          <w:rFonts w:hint="eastAsia"/>
          <w:sz w:val="24"/>
        </w:rPr>
        <w:t>最终双方签定的技术协议为准</w:t>
      </w:r>
      <w:r>
        <w:rPr>
          <w:rFonts w:hint="eastAsia" w:hAnsi="宋体"/>
          <w:sz w:val="24"/>
        </w:rPr>
        <w:t>）</w:t>
      </w:r>
      <w:r>
        <w:rPr>
          <w:rFonts w:hint="eastAsia"/>
          <w:bCs/>
          <w:sz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r>
        <w:rPr>
          <w:rFonts w:hint="eastAsia" w:hAnsi="宋体"/>
          <w:sz w:val="24"/>
          <w:u w:val="single"/>
        </w:rPr>
        <w:t>以双方签订的技术协议为准</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bookmarkEnd w:id="0"/>
    <w:p>
      <w:pPr>
        <w:ind w:firstLine="560" w:firstLineChars="200"/>
        <w:rPr>
          <w:sz w:val="28"/>
          <w:u w:val="single"/>
          <w:lang w:eastAsia="zh-CN"/>
        </w:rPr>
      </w:pPr>
    </w:p>
    <w:sectPr>
      <w:footerReference r:id="rId7"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680"/>
    </w:sdtPr>
    <w:sdtContent>
      <w:p>
        <w:pPr>
          <w:pStyle w:val="30"/>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20"/>
      <w:spacing w:line="14" w:lineRule="auto"/>
      <w:rPr>
        <w:sz w:val="1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30</w:t>
        </w:r>
        <w:r>
          <w:rPr>
            <w:lang w:val="zh-CN" w:eastAsia="zh-CN"/>
          </w:rP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5"/>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6"/>
      <w:lvlText w:val="第%2节"/>
      <w:lvlJc w:val="left"/>
      <w:pPr>
        <w:tabs>
          <w:tab w:val="left" w:pos="992"/>
        </w:tabs>
        <w:ind w:left="0" w:firstLine="0"/>
      </w:pPr>
      <w:rPr>
        <w:rFonts w:hint="eastAsia" w:ascii="宋体" w:eastAsia="宋体"/>
        <w:b/>
        <w:i w:val="0"/>
        <w:sz w:val="30"/>
        <w:szCs w:val="30"/>
      </w:rPr>
    </w:lvl>
    <w:lvl w:ilvl="2" w:tentative="0">
      <w:start w:val="1"/>
      <w:numFmt w:val="decimal"/>
      <w:pStyle w:val="187"/>
      <w:lvlText w:val="%3"/>
      <w:lvlJc w:val="left"/>
      <w:pPr>
        <w:tabs>
          <w:tab w:val="left" w:pos="567"/>
        </w:tabs>
        <w:ind w:left="0" w:firstLine="0"/>
      </w:pPr>
      <w:rPr>
        <w:rFonts w:hint="eastAsia" w:ascii="宋体" w:eastAsia="宋体"/>
        <w:b/>
        <w:i w:val="0"/>
        <w:sz w:val="24"/>
        <w:szCs w:val="24"/>
      </w:rPr>
    </w:lvl>
    <w:lvl w:ilvl="3" w:tentative="0">
      <w:start w:val="1"/>
      <w:numFmt w:val="decimal"/>
      <w:pStyle w:val="188"/>
      <w:lvlText w:val="%3.%4"/>
      <w:lvlJc w:val="left"/>
      <w:pPr>
        <w:tabs>
          <w:tab w:val="left" w:pos="737"/>
        </w:tabs>
        <w:ind w:left="0" w:firstLine="284"/>
      </w:pPr>
      <w:rPr>
        <w:rFonts w:hint="eastAsia" w:ascii="宋体" w:eastAsia="宋体"/>
        <w:b/>
        <w:i w:val="0"/>
        <w:sz w:val="24"/>
        <w:szCs w:val="24"/>
      </w:rPr>
    </w:lvl>
    <w:lvl w:ilvl="4" w:tentative="0">
      <w:start w:val="1"/>
      <w:numFmt w:val="decimal"/>
      <w:pStyle w:val="189"/>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0"/>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720"/>
  <w:drawingGridHorizontalSpacing w:val="110"/>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1F47"/>
    <w:rsid w:val="00242301"/>
    <w:rsid w:val="002427A9"/>
    <w:rsid w:val="002431E7"/>
    <w:rsid w:val="002451B2"/>
    <w:rsid w:val="0024625A"/>
    <w:rsid w:val="002551DF"/>
    <w:rsid w:val="0025699E"/>
    <w:rsid w:val="002578E6"/>
    <w:rsid w:val="00263085"/>
    <w:rsid w:val="002648A2"/>
    <w:rsid w:val="002660DA"/>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B1706"/>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C7C7C"/>
    <w:rsid w:val="00FD0D54"/>
    <w:rsid w:val="00FD1B14"/>
    <w:rsid w:val="00FD1DC9"/>
    <w:rsid w:val="00FD29D5"/>
    <w:rsid w:val="00FE65F9"/>
    <w:rsid w:val="00FF49E8"/>
    <w:rsid w:val="00FF5F83"/>
    <w:rsid w:val="01454C21"/>
    <w:rsid w:val="0367315B"/>
    <w:rsid w:val="039452D6"/>
    <w:rsid w:val="061139E5"/>
    <w:rsid w:val="06F50B00"/>
    <w:rsid w:val="076E1278"/>
    <w:rsid w:val="081A08AE"/>
    <w:rsid w:val="081D6F74"/>
    <w:rsid w:val="087D5A4F"/>
    <w:rsid w:val="08D1141D"/>
    <w:rsid w:val="09130765"/>
    <w:rsid w:val="0A892BC4"/>
    <w:rsid w:val="0B296DE2"/>
    <w:rsid w:val="0B721453"/>
    <w:rsid w:val="0D0126E0"/>
    <w:rsid w:val="0EFD592E"/>
    <w:rsid w:val="0FB5725B"/>
    <w:rsid w:val="0FB7670E"/>
    <w:rsid w:val="10294AA3"/>
    <w:rsid w:val="10E40CA0"/>
    <w:rsid w:val="12584C20"/>
    <w:rsid w:val="136130D9"/>
    <w:rsid w:val="13805E8A"/>
    <w:rsid w:val="14762538"/>
    <w:rsid w:val="15800409"/>
    <w:rsid w:val="15AD01BA"/>
    <w:rsid w:val="16AE1C29"/>
    <w:rsid w:val="16B72867"/>
    <w:rsid w:val="171E7DD2"/>
    <w:rsid w:val="173600E6"/>
    <w:rsid w:val="176A78D9"/>
    <w:rsid w:val="18DD4F7E"/>
    <w:rsid w:val="19544509"/>
    <w:rsid w:val="195B58A2"/>
    <w:rsid w:val="1989465C"/>
    <w:rsid w:val="1A2360C8"/>
    <w:rsid w:val="1B6947A7"/>
    <w:rsid w:val="1CC40373"/>
    <w:rsid w:val="1E085A14"/>
    <w:rsid w:val="1E657D90"/>
    <w:rsid w:val="1ED93E25"/>
    <w:rsid w:val="1FF43DDB"/>
    <w:rsid w:val="20625E24"/>
    <w:rsid w:val="21933AA2"/>
    <w:rsid w:val="22B76993"/>
    <w:rsid w:val="22E07B9F"/>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E666BF4"/>
    <w:rsid w:val="2F724BD0"/>
    <w:rsid w:val="2FC5779A"/>
    <w:rsid w:val="31AF3FB9"/>
    <w:rsid w:val="31C54755"/>
    <w:rsid w:val="31D23053"/>
    <w:rsid w:val="3216608C"/>
    <w:rsid w:val="328F13DA"/>
    <w:rsid w:val="34CE14C6"/>
    <w:rsid w:val="34D84CEC"/>
    <w:rsid w:val="35CF1523"/>
    <w:rsid w:val="35DC515B"/>
    <w:rsid w:val="36BA68B0"/>
    <w:rsid w:val="37AF5AB7"/>
    <w:rsid w:val="39E568DF"/>
    <w:rsid w:val="3A387F18"/>
    <w:rsid w:val="3B1C3371"/>
    <w:rsid w:val="3CAE3A33"/>
    <w:rsid w:val="3CC23198"/>
    <w:rsid w:val="3DDF4815"/>
    <w:rsid w:val="3FE669E5"/>
    <w:rsid w:val="41EB5470"/>
    <w:rsid w:val="44B33DBE"/>
    <w:rsid w:val="44B70186"/>
    <w:rsid w:val="459C39D0"/>
    <w:rsid w:val="462A54F2"/>
    <w:rsid w:val="486C4718"/>
    <w:rsid w:val="4A286FFC"/>
    <w:rsid w:val="4A6A5207"/>
    <w:rsid w:val="4B3B68BB"/>
    <w:rsid w:val="4B410375"/>
    <w:rsid w:val="4B876203"/>
    <w:rsid w:val="50F63E28"/>
    <w:rsid w:val="5221007F"/>
    <w:rsid w:val="52926B5A"/>
    <w:rsid w:val="52B7258B"/>
    <w:rsid w:val="52F74B88"/>
    <w:rsid w:val="542A5B09"/>
    <w:rsid w:val="545C5E51"/>
    <w:rsid w:val="5486175B"/>
    <w:rsid w:val="56A70955"/>
    <w:rsid w:val="57667D24"/>
    <w:rsid w:val="57C67347"/>
    <w:rsid w:val="57CE5BC3"/>
    <w:rsid w:val="5998493F"/>
    <w:rsid w:val="59B9557B"/>
    <w:rsid w:val="59C5385A"/>
    <w:rsid w:val="5A2D3E44"/>
    <w:rsid w:val="5A3260D4"/>
    <w:rsid w:val="5AD75FB8"/>
    <w:rsid w:val="5AE1516A"/>
    <w:rsid w:val="5B3226FA"/>
    <w:rsid w:val="5B6A3A79"/>
    <w:rsid w:val="5C1A5F7B"/>
    <w:rsid w:val="5D3750C3"/>
    <w:rsid w:val="5D7A3273"/>
    <w:rsid w:val="5E2B4120"/>
    <w:rsid w:val="60143739"/>
    <w:rsid w:val="601675AC"/>
    <w:rsid w:val="60342B61"/>
    <w:rsid w:val="628D3982"/>
    <w:rsid w:val="62E96122"/>
    <w:rsid w:val="645771F8"/>
    <w:rsid w:val="65D57404"/>
    <w:rsid w:val="66CC0AF0"/>
    <w:rsid w:val="67CE38BB"/>
    <w:rsid w:val="68246BFD"/>
    <w:rsid w:val="693C3D94"/>
    <w:rsid w:val="69962A8F"/>
    <w:rsid w:val="6A3E5143"/>
    <w:rsid w:val="6A54112D"/>
    <w:rsid w:val="6A701C86"/>
    <w:rsid w:val="6A9109B8"/>
    <w:rsid w:val="6AA035AE"/>
    <w:rsid w:val="6BCB034D"/>
    <w:rsid w:val="6C0E1756"/>
    <w:rsid w:val="6C2B2406"/>
    <w:rsid w:val="6C4E6286"/>
    <w:rsid w:val="6D1B5A5A"/>
    <w:rsid w:val="6E0F2E14"/>
    <w:rsid w:val="6E71313D"/>
    <w:rsid w:val="6EAB091C"/>
    <w:rsid w:val="6F1E141D"/>
    <w:rsid w:val="6F5354F8"/>
    <w:rsid w:val="71D648EC"/>
    <w:rsid w:val="727810B8"/>
    <w:rsid w:val="7293546A"/>
    <w:rsid w:val="72E05B2C"/>
    <w:rsid w:val="72EF5B99"/>
    <w:rsid w:val="740A2BDE"/>
    <w:rsid w:val="751839E0"/>
    <w:rsid w:val="756178E9"/>
    <w:rsid w:val="75A1093B"/>
    <w:rsid w:val="75BE7C69"/>
    <w:rsid w:val="76274F93"/>
    <w:rsid w:val="79670CA0"/>
    <w:rsid w:val="79EB3F2F"/>
    <w:rsid w:val="79FD3C4B"/>
    <w:rsid w:val="7A1D7427"/>
    <w:rsid w:val="7B11789E"/>
    <w:rsid w:val="7D250FF6"/>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0"/>
    <w:pPr>
      <w:ind w:left="538"/>
      <w:outlineLvl w:val="0"/>
    </w:pPr>
    <w:rPr>
      <w:b/>
      <w:bCs/>
      <w:sz w:val="28"/>
      <w:szCs w:val="28"/>
    </w:rPr>
  </w:style>
  <w:style w:type="paragraph" w:styleId="4">
    <w:name w:val="heading 2"/>
    <w:basedOn w:val="1"/>
    <w:next w:val="1"/>
    <w:link w:val="61"/>
    <w:qFormat/>
    <w:uiPriority w:val="0"/>
    <w:pPr>
      <w:ind w:left="629"/>
      <w:outlineLvl w:val="1"/>
    </w:pPr>
    <w:rPr>
      <w:b/>
      <w:bCs/>
      <w:sz w:val="24"/>
      <w:szCs w:val="24"/>
    </w:rPr>
  </w:style>
  <w:style w:type="paragraph" w:styleId="5">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5"/>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0"/>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9"/>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7"/>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11"/>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8"/>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10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1"/>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103"/>
    <w:qFormat/>
    <w:uiPriority w:val="0"/>
    <w:pPr>
      <w:widowControl/>
    </w:pPr>
    <w:rPr>
      <w:b/>
      <w:bCs/>
      <w:sz w:val="24"/>
      <w:szCs w:val="24"/>
    </w:rPr>
  </w:style>
  <w:style w:type="paragraph" w:styleId="46">
    <w:name w:val="Body Text First Indent"/>
    <w:basedOn w:val="20"/>
    <w:link w:val="102"/>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490F8"/>
      <w:u w:val="none"/>
    </w:rPr>
  </w:style>
  <w:style w:type="character" w:styleId="53">
    <w:name w:val="Emphasis"/>
    <w:basedOn w:val="49"/>
    <w:qFormat/>
    <w:uiPriority w:val="0"/>
  </w:style>
  <w:style w:type="character" w:styleId="54">
    <w:name w:val="HTML Definition"/>
    <w:basedOn w:val="49"/>
    <w:semiHidden/>
    <w:unhideWhenUsed/>
    <w:uiPriority w:val="0"/>
  </w:style>
  <w:style w:type="character" w:styleId="55">
    <w:name w:val="HTML Variable"/>
    <w:basedOn w:val="49"/>
    <w:semiHidden/>
    <w:unhideWhenUsed/>
    <w:uiPriority w:val="0"/>
  </w:style>
  <w:style w:type="character" w:styleId="56">
    <w:name w:val="Hyperlink"/>
    <w:basedOn w:val="49"/>
    <w:qFormat/>
    <w:uiPriority w:val="0"/>
    <w:rPr>
      <w:color w:val="0000FF" w:themeColor="hyperlink"/>
      <w:u w:val="single"/>
    </w:rPr>
  </w:style>
  <w:style w:type="character" w:styleId="57">
    <w:name w:val="HTML Code"/>
    <w:basedOn w:val="49"/>
    <w:semiHidden/>
    <w:unhideWhenUsed/>
    <w:uiPriority w:val="0"/>
    <w:rPr>
      <w:rFonts w:ascii="Courier New" w:hAnsi="Courier New"/>
      <w:sz w:val="20"/>
    </w:rPr>
  </w:style>
  <w:style w:type="character" w:styleId="58">
    <w:name w:val="annotation reference"/>
    <w:basedOn w:val="49"/>
    <w:qFormat/>
    <w:uiPriority w:val="0"/>
    <w:rPr>
      <w:sz w:val="21"/>
      <w:szCs w:val="21"/>
    </w:rPr>
  </w:style>
  <w:style w:type="character" w:styleId="59">
    <w:name w:val="HTML Cite"/>
    <w:basedOn w:val="49"/>
    <w:semiHidden/>
    <w:unhideWhenUsed/>
    <w:uiPriority w:val="0"/>
  </w:style>
  <w:style w:type="character" w:customStyle="1" w:styleId="60">
    <w:name w:val="标题 1 Char"/>
    <w:basedOn w:val="49"/>
    <w:link w:val="3"/>
    <w:qFormat/>
    <w:uiPriority w:val="0"/>
    <w:rPr>
      <w:rFonts w:ascii="宋体" w:hAnsi="宋体" w:cs="宋体"/>
      <w:b/>
      <w:bCs/>
      <w:sz w:val="28"/>
      <w:szCs w:val="28"/>
      <w:lang w:eastAsia="en-US"/>
    </w:rPr>
  </w:style>
  <w:style w:type="character" w:customStyle="1" w:styleId="61">
    <w:name w:val="标题 2 Char"/>
    <w:basedOn w:val="49"/>
    <w:link w:val="4"/>
    <w:qFormat/>
    <w:uiPriority w:val="0"/>
    <w:rPr>
      <w:rFonts w:ascii="宋体" w:hAnsi="宋体" w:cs="宋体"/>
      <w:b/>
      <w:bCs/>
      <w:sz w:val="24"/>
      <w:szCs w:val="24"/>
      <w:lang w:eastAsia="en-US"/>
    </w:rPr>
  </w:style>
  <w:style w:type="character" w:customStyle="1" w:styleId="62">
    <w:name w:val="标题 3 Char"/>
    <w:basedOn w:val="49"/>
    <w:link w:val="5"/>
    <w:qFormat/>
    <w:uiPriority w:val="0"/>
    <w:rPr>
      <w:b/>
      <w:bCs/>
      <w:kern w:val="2"/>
      <w:sz w:val="32"/>
      <w:szCs w:val="32"/>
    </w:rPr>
  </w:style>
  <w:style w:type="character" w:customStyle="1" w:styleId="63">
    <w:name w:val="标题 4 Char"/>
    <w:basedOn w:val="49"/>
    <w:link w:val="6"/>
    <w:qFormat/>
    <w:uiPriority w:val="0"/>
    <w:rPr>
      <w:b/>
      <w:kern w:val="2"/>
      <w:sz w:val="24"/>
      <w:szCs w:val="24"/>
    </w:rPr>
  </w:style>
  <w:style w:type="character" w:customStyle="1" w:styleId="64">
    <w:name w:val="标题 5 Char"/>
    <w:basedOn w:val="49"/>
    <w:link w:val="7"/>
    <w:qFormat/>
    <w:uiPriority w:val="0"/>
    <w:rPr>
      <w:b/>
      <w:bCs/>
      <w:kern w:val="2"/>
      <w:sz w:val="28"/>
      <w:szCs w:val="28"/>
    </w:rPr>
  </w:style>
  <w:style w:type="character" w:customStyle="1" w:styleId="65">
    <w:name w:val="标题 6 Char"/>
    <w:basedOn w:val="49"/>
    <w:link w:val="8"/>
    <w:qFormat/>
    <w:uiPriority w:val="0"/>
    <w:rPr>
      <w:b/>
      <w:sz w:val="24"/>
    </w:rPr>
  </w:style>
  <w:style w:type="character" w:customStyle="1" w:styleId="66">
    <w:name w:val="正文缩进 Char"/>
    <w:basedOn w:val="49"/>
    <w:link w:val="10"/>
    <w:qFormat/>
    <w:uiPriority w:val="0"/>
    <w:rPr>
      <w:sz w:val="24"/>
    </w:rPr>
  </w:style>
  <w:style w:type="character" w:customStyle="1" w:styleId="67">
    <w:name w:val="标题 7 Char"/>
    <w:basedOn w:val="49"/>
    <w:link w:val="9"/>
    <w:qFormat/>
    <w:uiPriority w:val="0"/>
    <w:rPr>
      <w:b/>
      <w:kern w:val="2"/>
      <w:sz w:val="24"/>
    </w:rPr>
  </w:style>
  <w:style w:type="character" w:customStyle="1" w:styleId="68">
    <w:name w:val="标题 8 Char"/>
    <w:basedOn w:val="49"/>
    <w:link w:val="11"/>
    <w:qFormat/>
    <w:uiPriority w:val="0"/>
    <w:rPr>
      <w:rFonts w:ascii="Arial" w:hAnsi="Arial" w:eastAsia="黑体"/>
      <w:kern w:val="2"/>
      <w:sz w:val="24"/>
    </w:rPr>
  </w:style>
  <w:style w:type="character" w:customStyle="1" w:styleId="69">
    <w:name w:val="标题 9 Char"/>
    <w:basedOn w:val="49"/>
    <w:link w:val="12"/>
    <w:qFormat/>
    <w:uiPriority w:val="0"/>
    <w:rPr>
      <w:rFonts w:ascii="Arial" w:hAnsi="Arial" w:eastAsia="黑体"/>
      <w:kern w:val="2"/>
      <w:sz w:val="21"/>
    </w:rPr>
  </w:style>
  <w:style w:type="character" w:customStyle="1" w:styleId="70">
    <w:name w:val="正文文本 Char1"/>
    <w:basedOn w:val="49"/>
    <w:link w:val="20"/>
    <w:qFormat/>
    <w:uiPriority w:val="1"/>
    <w:rPr>
      <w:rFonts w:ascii="宋体" w:hAnsi="宋体" w:cs="宋体"/>
      <w:sz w:val="24"/>
      <w:szCs w:val="24"/>
      <w:lang w:eastAsia="en-US"/>
    </w:rPr>
  </w:style>
  <w:style w:type="character" w:customStyle="1" w:styleId="71">
    <w:name w:val="纯文本 Char"/>
    <w:basedOn w:val="49"/>
    <w:link w:val="25"/>
    <w:qFormat/>
    <w:uiPriority w:val="0"/>
    <w:rPr>
      <w:rFonts w:ascii="宋体" w:hAnsi="Courier New" w:cs="Courier New"/>
      <w:sz w:val="22"/>
      <w:szCs w:val="21"/>
      <w:lang w:eastAsia="en-US"/>
    </w:rPr>
  </w:style>
  <w:style w:type="character" w:customStyle="1" w:styleId="72">
    <w:name w:val="页脚 Char"/>
    <w:basedOn w:val="49"/>
    <w:link w:val="30"/>
    <w:qFormat/>
    <w:uiPriority w:val="99"/>
    <w:rPr>
      <w:rFonts w:ascii="宋体" w:hAnsi="宋体" w:cs="宋体"/>
      <w:sz w:val="18"/>
      <w:szCs w:val="18"/>
      <w:lang w:eastAsia="en-US"/>
    </w:rPr>
  </w:style>
  <w:style w:type="character" w:customStyle="1" w:styleId="73">
    <w:name w:val="页眉 Char"/>
    <w:basedOn w:val="49"/>
    <w:link w:val="31"/>
    <w:qFormat/>
    <w:uiPriority w:val="0"/>
    <w:rPr>
      <w:rFonts w:ascii="宋体" w:hAnsi="宋体" w:cs="宋体"/>
      <w:sz w:val="18"/>
      <w:szCs w:val="22"/>
      <w:lang w:eastAsia="en-US"/>
    </w:rPr>
  </w:style>
  <w:style w:type="table" w:customStyle="1" w:styleId="74">
    <w:name w:val="Table Normal"/>
    <w:semiHidden/>
    <w:unhideWhenUsed/>
    <w:qFormat/>
    <w:uiPriority w:val="2"/>
    <w:tblPr>
      <w:tblCellMar>
        <w:top w:w="0" w:type="dxa"/>
        <w:left w:w="0" w:type="dxa"/>
        <w:bottom w:w="0" w:type="dxa"/>
        <w:right w:w="0" w:type="dxa"/>
      </w:tblCellMar>
    </w:tblPr>
  </w:style>
  <w:style w:type="paragraph" w:styleId="75">
    <w:name w:val="List Paragraph"/>
    <w:basedOn w:val="1"/>
    <w:link w:val="209"/>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9"/>
    <w:link w:val="19"/>
    <w:qFormat/>
    <w:uiPriority w:val="0"/>
    <w:rPr>
      <w:b/>
      <w:kern w:val="2"/>
      <w:sz w:val="21"/>
    </w:rPr>
  </w:style>
  <w:style w:type="character" w:customStyle="1" w:styleId="81">
    <w:name w:val="普通(网站) Char"/>
    <w:basedOn w:val="49"/>
    <w:link w:val="42"/>
    <w:qFormat/>
    <w:locked/>
    <w:uiPriority w:val="0"/>
    <w:rPr>
      <w:rFonts w:ascii="宋体" w:hAnsi="宋体" w:cs="宋体"/>
      <w:sz w:val="24"/>
      <w:szCs w:val="24"/>
    </w:rPr>
  </w:style>
  <w:style w:type="character" w:customStyle="1" w:styleId="82">
    <w:name w:val="xdrichtextbox2"/>
    <w:basedOn w:val="49"/>
    <w:qFormat/>
    <w:uiPriority w:val="0"/>
    <w:rPr>
      <w:color w:val="0000FF"/>
      <w:sz w:val="18"/>
      <w:szCs w:val="18"/>
      <w:u w:val="none"/>
      <w:bdr w:val="single" w:color="DCDCDC" w:sz="8" w:space="0"/>
      <w:shd w:val="clear" w:color="auto" w:fill="FFFFFF"/>
    </w:rPr>
  </w:style>
  <w:style w:type="character" w:customStyle="1" w:styleId="83">
    <w:name w:val="apple-converted-space"/>
    <w:basedOn w:val="49"/>
    <w:qFormat/>
    <w:uiPriority w:val="0"/>
  </w:style>
  <w:style w:type="character" w:customStyle="1" w:styleId="84">
    <w:name w:val="无间隔 Char"/>
    <w:basedOn w:val="49"/>
    <w:link w:val="85"/>
    <w:qFormat/>
    <w:uiPriority w:val="0"/>
    <w:rPr>
      <w:rFonts w:ascii="Calibri" w:hAnsi="Calibri"/>
      <w:sz w:val="22"/>
      <w:szCs w:val="22"/>
    </w:rPr>
  </w:style>
  <w:style w:type="paragraph" w:styleId="85">
    <w:name w:val="No Spacing"/>
    <w:link w:val="84"/>
    <w:qFormat/>
    <w:uiPriority w:val="0"/>
    <w:rPr>
      <w:rFonts w:ascii="Calibri" w:hAnsi="Calibri" w:eastAsia="宋体" w:cs="Times New Roman"/>
      <w:sz w:val="22"/>
      <w:szCs w:val="22"/>
      <w:lang w:val="en-US" w:eastAsia="zh-CN" w:bidi="ar-SA"/>
    </w:rPr>
  </w:style>
  <w:style w:type="character" w:customStyle="1" w:styleId="86">
    <w:name w:val="批注文字 Char"/>
    <w:basedOn w:val="49"/>
    <w:link w:val="17"/>
    <w:qFormat/>
    <w:uiPriority w:val="0"/>
    <w:rPr>
      <w:kern w:val="2"/>
      <w:sz w:val="21"/>
    </w:rPr>
  </w:style>
  <w:style w:type="character" w:customStyle="1" w:styleId="87">
    <w:name w:val="批注框文本 Char"/>
    <w:basedOn w:val="49"/>
    <w:link w:val="29"/>
    <w:qFormat/>
    <w:uiPriority w:val="0"/>
    <w:rPr>
      <w:kern w:val="2"/>
      <w:sz w:val="18"/>
      <w:szCs w:val="18"/>
    </w:rPr>
  </w:style>
  <w:style w:type="character" w:customStyle="1" w:styleId="88">
    <w:name w:val="正文文本缩进 3 Char"/>
    <w:basedOn w:val="49"/>
    <w:link w:val="36"/>
    <w:qFormat/>
    <w:uiPriority w:val="0"/>
    <w:rPr>
      <w:kern w:val="2"/>
      <w:sz w:val="28"/>
    </w:rPr>
  </w:style>
  <w:style w:type="character" w:customStyle="1" w:styleId="89">
    <w:name w:val="正文文本缩进 2 Char"/>
    <w:basedOn w:val="49"/>
    <w:link w:val="28"/>
    <w:qFormat/>
    <w:uiPriority w:val="0"/>
    <w:rPr>
      <w:rFonts w:ascii="宋体" w:hAnsi="宋体"/>
      <w:iCs/>
      <w:kern w:val="2"/>
      <w:sz w:val="24"/>
      <w:szCs w:val="24"/>
    </w:rPr>
  </w:style>
  <w:style w:type="character" w:customStyle="1" w:styleId="90">
    <w:name w:val="正文文本 Char"/>
    <w:basedOn w:val="49"/>
    <w:qFormat/>
    <w:uiPriority w:val="0"/>
    <w:rPr>
      <w:rFonts w:eastAsia="宋体"/>
      <w:sz w:val="24"/>
      <w:szCs w:val="24"/>
      <w:lang w:val="en-US" w:eastAsia="zh-CN" w:bidi="ar-SA"/>
    </w:rPr>
  </w:style>
  <w:style w:type="character" w:customStyle="1" w:styleId="91">
    <w:name w:val="en1"/>
    <w:basedOn w:val="49"/>
    <w:qFormat/>
    <w:uiPriority w:val="0"/>
    <w:rPr>
      <w:b/>
      <w:bCs/>
      <w:color w:val="154C7F"/>
      <w:sz w:val="24"/>
      <w:szCs w:val="24"/>
    </w:rPr>
  </w:style>
  <w:style w:type="character" w:customStyle="1" w:styleId="92">
    <w:name w:val="font01"/>
    <w:basedOn w:val="49"/>
    <w:qFormat/>
    <w:uiPriority w:val="0"/>
    <w:rPr>
      <w:rFonts w:hint="eastAsia" w:ascii="宋体" w:hAnsi="宋体" w:eastAsia="宋体" w:cs="宋体"/>
      <w:color w:val="000000"/>
      <w:sz w:val="20"/>
      <w:szCs w:val="20"/>
      <w:u w:val="none"/>
    </w:rPr>
  </w:style>
  <w:style w:type="character" w:customStyle="1" w:styleId="93">
    <w:name w:val="标题 Char"/>
    <w:basedOn w:val="49"/>
    <w:link w:val="44"/>
    <w:qFormat/>
    <w:uiPriority w:val="0"/>
    <w:rPr>
      <w:rFonts w:ascii="Arial" w:hAnsi="Arial" w:cs="Arial"/>
      <w:b/>
      <w:bCs/>
      <w:sz w:val="44"/>
      <w:szCs w:val="32"/>
    </w:rPr>
  </w:style>
  <w:style w:type="character" w:customStyle="1" w:styleId="94">
    <w:name w:val="正文文本缩进 Char"/>
    <w:basedOn w:val="49"/>
    <w:link w:val="21"/>
    <w:qFormat/>
    <w:uiPriority w:val="0"/>
    <w:rPr>
      <w:i/>
      <w:iCs/>
      <w:kern w:val="2"/>
      <w:sz w:val="21"/>
    </w:rPr>
  </w:style>
  <w:style w:type="character" w:customStyle="1" w:styleId="95">
    <w:name w:val="正文文本 3 Char"/>
    <w:basedOn w:val="49"/>
    <w:link w:val="18"/>
    <w:qFormat/>
    <w:uiPriority w:val="0"/>
    <w:rPr>
      <w:color w:val="0000FF"/>
      <w:kern w:val="2"/>
      <w:sz w:val="24"/>
      <w:szCs w:val="24"/>
    </w:rPr>
  </w:style>
  <w:style w:type="character" w:customStyle="1" w:styleId="96">
    <w:name w:val="font11"/>
    <w:basedOn w:val="49"/>
    <w:qFormat/>
    <w:uiPriority w:val="0"/>
    <w:rPr>
      <w:rFonts w:hint="default" w:ascii="Times New Roman" w:hAnsi="Times New Roman" w:cs="Times New Roman"/>
      <w:color w:val="000000"/>
      <w:sz w:val="20"/>
      <w:szCs w:val="20"/>
      <w:u w:val="none"/>
    </w:rPr>
  </w:style>
  <w:style w:type="character" w:customStyle="1" w:styleId="97">
    <w:name w:val="glossaryitem"/>
    <w:basedOn w:val="49"/>
    <w:qFormat/>
    <w:uiPriority w:val="0"/>
    <w:rPr>
      <w:u w:val="none"/>
    </w:rPr>
  </w:style>
  <w:style w:type="character" w:customStyle="1" w:styleId="98">
    <w:name w:val="HTML 预设格式 Char"/>
    <w:basedOn w:val="49"/>
    <w:link w:val="41"/>
    <w:qFormat/>
    <w:uiPriority w:val="0"/>
    <w:rPr>
      <w:rFonts w:ascii="Arial Unicode MS" w:hAnsi="Arial Unicode MS" w:eastAsia="Courier New" w:cs="Courier New"/>
    </w:rPr>
  </w:style>
  <w:style w:type="character" w:customStyle="1" w:styleId="99">
    <w:name w:val="文档结构图 Char"/>
    <w:basedOn w:val="49"/>
    <w:link w:val="16"/>
    <w:qFormat/>
    <w:uiPriority w:val="0"/>
    <w:rPr>
      <w:rFonts w:ascii="宋体"/>
      <w:sz w:val="28"/>
      <w:shd w:val="clear" w:color="auto" w:fill="000080"/>
    </w:rPr>
  </w:style>
  <w:style w:type="character" w:customStyle="1" w:styleId="100">
    <w:name w:val="日期 Char"/>
    <w:basedOn w:val="49"/>
    <w:link w:val="27"/>
    <w:qFormat/>
    <w:uiPriority w:val="0"/>
    <w:rPr>
      <w:kern w:val="2"/>
      <w:sz w:val="21"/>
      <w:szCs w:val="24"/>
    </w:rPr>
  </w:style>
  <w:style w:type="character" w:customStyle="1" w:styleId="101">
    <w:name w:val="正文文本 2 Char"/>
    <w:basedOn w:val="49"/>
    <w:link w:val="39"/>
    <w:qFormat/>
    <w:uiPriority w:val="0"/>
    <w:rPr>
      <w:kern w:val="2"/>
      <w:sz w:val="21"/>
      <w:szCs w:val="24"/>
    </w:rPr>
  </w:style>
  <w:style w:type="character" w:customStyle="1" w:styleId="102">
    <w:name w:val="正文首行缩进 Char"/>
    <w:basedOn w:val="90"/>
    <w:link w:val="46"/>
    <w:qFormat/>
    <w:uiPriority w:val="0"/>
    <w:rPr>
      <w:rFonts w:eastAsia="宋体"/>
      <w:sz w:val="21"/>
      <w:szCs w:val="21"/>
      <w:lang w:val="en-US" w:eastAsia="zh-CN" w:bidi="ar-SA"/>
    </w:rPr>
  </w:style>
  <w:style w:type="character" w:customStyle="1" w:styleId="103">
    <w:name w:val="批注主题 Char"/>
    <w:basedOn w:val="86"/>
    <w:link w:val="45"/>
    <w:qFormat/>
    <w:uiPriority w:val="0"/>
    <w:rPr>
      <w:b/>
      <w:bCs/>
      <w:kern w:val="2"/>
      <w:sz w:val="24"/>
      <w:szCs w:val="24"/>
    </w:rPr>
  </w:style>
  <w:style w:type="paragraph" w:customStyle="1" w:styleId="104">
    <w:name w:val="标题3(小3号)"/>
    <w:basedOn w:val="5"/>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qFormat/>
    <w:uiPriority w:val="0"/>
    <w:rPr>
      <w:rFonts w:ascii="宋体" w:hAnsi="宋体" w:cs="宋体"/>
      <w:sz w:val="24"/>
      <w:szCs w:val="24"/>
      <w:lang w:eastAsia="en-US"/>
    </w:rPr>
  </w:style>
  <w:style w:type="character" w:customStyle="1" w:styleId="107">
    <w:name w:val="信息标题 Char"/>
    <w:basedOn w:val="49"/>
    <w:link w:val="40"/>
    <w:qFormat/>
    <w:uiPriority w:val="0"/>
    <w:rPr>
      <w:rFonts w:ascii="Arial" w:hAnsi="Arial" w:cs="Arial"/>
      <w:kern w:val="2"/>
      <w:sz w:val="24"/>
      <w:szCs w:val="24"/>
      <w:shd w:val="pct20" w:color="auto" w:fill="auto"/>
    </w:rPr>
  </w:style>
  <w:style w:type="character" w:customStyle="1" w:styleId="108">
    <w:name w:val="正文文本 3 Char1"/>
    <w:basedOn w:val="49"/>
    <w:qFormat/>
    <w:uiPriority w:val="0"/>
    <w:rPr>
      <w:rFonts w:ascii="宋体" w:hAnsi="宋体" w:cs="宋体"/>
      <w:sz w:val="16"/>
      <w:szCs w:val="16"/>
      <w:lang w:eastAsia="en-US"/>
    </w:rPr>
  </w:style>
  <w:style w:type="paragraph" w:customStyle="1" w:styleId="10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9"/>
    <w:qFormat/>
    <w:uiPriority w:val="0"/>
    <w:rPr>
      <w:rFonts w:ascii="宋体" w:hAnsi="宋体" w:cs="宋体"/>
      <w:sz w:val="22"/>
      <w:szCs w:val="22"/>
      <w:lang w:eastAsia="en-US"/>
    </w:rPr>
  </w:style>
  <w:style w:type="character" w:customStyle="1" w:styleId="112">
    <w:name w:val="批注文字 Char1"/>
    <w:basedOn w:val="49"/>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9"/>
    <w:qFormat/>
    <w:uiPriority w:val="0"/>
    <w:rPr>
      <w:rFonts w:ascii="宋体" w:hAnsi="宋体" w:cs="宋体"/>
      <w:sz w:val="18"/>
      <w:szCs w:val="18"/>
      <w:lang w:eastAsia="en-US"/>
    </w:rPr>
  </w:style>
  <w:style w:type="character" w:customStyle="1" w:styleId="117">
    <w:name w:val="日期 Char1"/>
    <w:basedOn w:val="49"/>
    <w:qFormat/>
    <w:uiPriority w:val="0"/>
    <w:rPr>
      <w:rFonts w:ascii="宋体" w:hAnsi="宋体" w:cs="宋体"/>
      <w:sz w:val="22"/>
      <w:szCs w:val="22"/>
      <w:lang w:eastAsia="en-US"/>
    </w:rPr>
  </w:style>
  <w:style w:type="paragraph" w:customStyle="1" w:styleId="118">
    <w:name w:val="标题3(3号)"/>
    <w:basedOn w:val="5"/>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9"/>
    <w:qFormat/>
    <w:uiPriority w:val="0"/>
    <w:rPr>
      <w:rFonts w:ascii="Courier New" w:hAnsi="Courier New" w:cs="Courier New"/>
      <w:lang w:eastAsia="en-US"/>
    </w:rPr>
  </w:style>
  <w:style w:type="character" w:customStyle="1" w:styleId="122">
    <w:name w:val="正文文本缩进 Char1"/>
    <w:basedOn w:val="49"/>
    <w:qFormat/>
    <w:uiPriority w:val="0"/>
    <w:rPr>
      <w:rFonts w:ascii="宋体" w:hAnsi="宋体" w:cs="宋体"/>
      <w:sz w:val="22"/>
      <w:szCs w:val="22"/>
      <w:lang w:eastAsia="en-US"/>
    </w:rPr>
  </w:style>
  <w:style w:type="paragraph" w:customStyle="1" w:styleId="123">
    <w:name w:val="标题2(小3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3"/>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9"/>
    <w:qFormat/>
    <w:uiPriority w:val="0"/>
    <w:rPr>
      <w:rFonts w:ascii="宋体" w:hAnsi="宋体" w:cs="宋体"/>
      <w:sz w:val="22"/>
      <w:szCs w:val="22"/>
      <w:lang w:eastAsia="en-US"/>
    </w:rPr>
  </w:style>
  <w:style w:type="character" w:customStyle="1" w:styleId="130">
    <w:name w:val="标题 Char1"/>
    <w:basedOn w:val="49"/>
    <w:qFormat/>
    <w:uiPriority w:val="0"/>
    <w:rPr>
      <w:rFonts w:asciiTheme="majorHAnsi" w:hAnsiTheme="majorHAnsi" w:cstheme="majorBidi"/>
      <w:b/>
      <w:bCs/>
      <w:sz w:val="32"/>
      <w:szCs w:val="32"/>
      <w:lang w:eastAsia="en-US"/>
    </w:rPr>
  </w:style>
  <w:style w:type="character" w:customStyle="1" w:styleId="131">
    <w:name w:val="正文文本缩进 3 Char1"/>
    <w:basedOn w:val="49"/>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9"/>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numPr>
        <w:ilvl w:val="3"/>
      </w:numPr>
      <w:outlineLvl w:val="3"/>
    </w:pPr>
  </w:style>
  <w:style w:type="paragraph" w:customStyle="1" w:styleId="189">
    <w:name w:val="大纲5"/>
    <w:basedOn w:val="188"/>
    <w:qFormat/>
    <w:uiPriority w:val="0"/>
    <w:pPr>
      <w:numPr>
        <w:ilvl w:val="4"/>
      </w:numPr>
      <w:tabs>
        <w:tab w:val="left" w:pos="360"/>
      </w:tabs>
      <w:outlineLvl w:val="4"/>
    </w:pPr>
    <w:rPr>
      <w:b w:val="0"/>
      <w:szCs w:val="36"/>
    </w:rPr>
  </w:style>
  <w:style w:type="paragraph" w:customStyle="1" w:styleId="190">
    <w:name w:val="大纲6"/>
    <w:basedOn w:val="189"/>
    <w:qFormat/>
    <w:uiPriority w:val="0"/>
    <w:pPr>
      <w:numPr>
        <w:ilvl w:val="5"/>
      </w:num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9"/>
    <w:qFormat/>
    <w:uiPriority w:val="0"/>
  </w:style>
  <w:style w:type="character" w:customStyle="1" w:styleId="208">
    <w:name w:val="xdrichtextbox3"/>
    <w:basedOn w:val="49"/>
    <w:qFormat/>
    <w:uiPriority w:val="0"/>
    <w:rPr>
      <w:color w:val="auto"/>
      <w:u w:val="none"/>
      <w:bdr w:val="single" w:color="DCDCDC" w:sz="8" w:space="0"/>
      <w:shd w:val="clear" w:color="auto" w:fill="FFFFFF"/>
    </w:rPr>
  </w:style>
  <w:style w:type="character" w:customStyle="1" w:styleId="209">
    <w:name w:val="列出段落 Char"/>
    <w:link w:val="75"/>
    <w:qFormat/>
    <w:uiPriority w:val="0"/>
    <w:rPr>
      <w:rFonts w:ascii="宋体" w:hAnsi="宋体" w:cs="宋体"/>
      <w:sz w:val="22"/>
      <w:szCs w:val="22"/>
      <w:lang w:eastAsia="en-US"/>
    </w:rPr>
  </w:style>
  <w:style w:type="paragraph" w:customStyle="1" w:styleId="210">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1">
    <w:name w:val="副标题 Char"/>
    <w:link w:val="34"/>
    <w:qFormat/>
    <w:uiPriority w:val="0"/>
    <w:rPr>
      <w:rFonts w:ascii="Cambria" w:hAnsi="Cambria"/>
      <w:b/>
      <w:bCs/>
      <w:kern w:val="28"/>
      <w:sz w:val="24"/>
      <w:szCs w:val="32"/>
    </w:rPr>
  </w:style>
  <w:style w:type="character" w:customStyle="1" w:styleId="212">
    <w:name w:val="副标题 Char1"/>
    <w:basedOn w:val="49"/>
    <w:qFormat/>
    <w:uiPriority w:val="0"/>
    <w:rPr>
      <w:rFonts w:asciiTheme="majorHAnsi" w:hAnsiTheme="majorHAnsi" w:cstheme="majorBidi"/>
      <w:b/>
      <w:bCs/>
      <w:kern w:val="28"/>
      <w:sz w:val="32"/>
      <w:szCs w:val="32"/>
      <w:lang w:eastAsia="en-US"/>
    </w:rPr>
  </w:style>
  <w:style w:type="paragraph" w:customStyle="1" w:styleId="213">
    <w:name w:val="CM7"/>
    <w:basedOn w:val="78"/>
    <w:next w:val="78"/>
    <w:unhideWhenUsed/>
    <w:qFormat/>
    <w:uiPriority w:val="99"/>
    <w:pPr>
      <w:spacing w:after="320"/>
    </w:pPr>
  </w:style>
  <w:style w:type="paragraph" w:customStyle="1" w:styleId="214">
    <w:name w:val="WPS Plain"/>
    <w:qFormat/>
    <w:uiPriority w:val="0"/>
    <w:rPr>
      <w:rFonts w:ascii="Times New Roman" w:hAnsi="Times New Roman" w:eastAsia="宋体" w:cs="Times New Roman"/>
      <w:lang w:val="en-US" w:eastAsia="zh-CN" w:bidi="ar-SA"/>
    </w:rPr>
  </w:style>
  <w:style w:type="paragraph" w:customStyle="1" w:styleId="215">
    <w:name w:val="Bg"/>
    <w:basedOn w:val="1"/>
    <w:qFormat/>
    <w:uiPriority w:val="0"/>
    <w:pPr>
      <w:topLinePunct/>
      <w:snapToGrid w:val="0"/>
      <w:spacing w:before="60" w:after="60"/>
      <w:jc w:val="center"/>
    </w:pPr>
    <w:rPr>
      <w:kern w:val="2"/>
      <w:sz w:val="18"/>
    </w:rPr>
  </w:style>
  <w:style w:type="paragraph" w:customStyle="1" w:styleId="216">
    <w:name w:val="正文格式"/>
    <w:basedOn w:val="1"/>
    <w:qFormat/>
    <w:uiPriority w:val="0"/>
    <w:pPr>
      <w:topLinePunct/>
      <w:ind w:firstLine="420" w:firstLineChars="200"/>
    </w:pPr>
    <w:rPr>
      <w:kern w:val="2"/>
      <w:sz w:val="21"/>
    </w:rPr>
  </w:style>
  <w:style w:type="paragraph" w:customStyle="1" w:styleId="217">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8">
    <w:name w:val="特点 Char"/>
    <w:qFormat/>
    <w:locked/>
    <w:uiPriority w:val="0"/>
    <w:rPr>
      <w:rFonts w:eastAsia="宋体"/>
      <w:kern w:val="2"/>
      <w:sz w:val="21"/>
      <w:lang w:val="en-US" w:eastAsia="zh-CN" w:bidi="ar-SA"/>
    </w:rPr>
  </w:style>
  <w:style w:type="character" w:customStyle="1" w:styleId="219">
    <w:name w:val="first-child"/>
    <w:basedOn w:val="49"/>
    <w:uiPriority w:val="0"/>
  </w:style>
  <w:style w:type="character" w:customStyle="1" w:styleId="220">
    <w:name w:val="xdrichtextbox"/>
    <w:basedOn w:val="49"/>
    <w:uiPriority w:val="0"/>
    <w:rPr>
      <w:color w:val="auto"/>
      <w:u w:val="none"/>
      <w:bdr w:val="single" w:color="DCDCDC" w:sz="8" w:space="0"/>
      <w:shd w:val="clear" w:color="auto" w:fill="auto"/>
    </w:rPr>
  </w:style>
  <w:style w:type="character" w:customStyle="1" w:styleId="221">
    <w:name w:val="ico1653"/>
    <w:basedOn w:val="49"/>
    <w:uiPriority w:val="0"/>
  </w:style>
  <w:style w:type="character" w:customStyle="1" w:styleId="222">
    <w:name w:val="cdropleft"/>
    <w:basedOn w:val="49"/>
    <w:uiPriority w:val="0"/>
  </w:style>
  <w:style w:type="character" w:customStyle="1" w:styleId="223">
    <w:name w:val="hover41"/>
    <w:basedOn w:val="49"/>
    <w:uiPriority w:val="0"/>
    <w:rPr>
      <w:color w:val="FFFFFF"/>
    </w:rPr>
  </w:style>
  <w:style w:type="character" w:customStyle="1" w:styleId="224">
    <w:name w:val="w32"/>
    <w:basedOn w:val="49"/>
    <w:uiPriority w:val="0"/>
  </w:style>
  <w:style w:type="character" w:customStyle="1" w:styleId="225">
    <w:name w:val="pagechatarealistclose_box"/>
    <w:basedOn w:val="49"/>
    <w:uiPriority w:val="0"/>
  </w:style>
  <w:style w:type="character" w:customStyle="1" w:styleId="226">
    <w:name w:val="pagechatarealistclose_box1"/>
    <w:basedOn w:val="49"/>
    <w:uiPriority w:val="0"/>
  </w:style>
  <w:style w:type="character" w:customStyle="1" w:styleId="227">
    <w:name w:val="cdropright"/>
    <w:basedOn w:val="49"/>
    <w:uiPriority w:val="0"/>
  </w:style>
  <w:style w:type="character" w:customStyle="1" w:styleId="228">
    <w:name w:val="drapbtn"/>
    <w:basedOn w:val="49"/>
    <w:uiPriority w:val="0"/>
  </w:style>
  <w:style w:type="character" w:customStyle="1" w:styleId="229">
    <w:name w:val="active5"/>
    <w:basedOn w:val="49"/>
    <w:uiPriority w:val="0"/>
    <w:rPr>
      <w:shd w:val="clear" w:color="auto" w:fill="EC3535"/>
    </w:rPr>
  </w:style>
  <w:style w:type="character" w:customStyle="1" w:styleId="230">
    <w:name w:val="active6"/>
    <w:basedOn w:val="49"/>
    <w:uiPriority w:val="0"/>
    <w:rPr>
      <w:color w:val="00FF00"/>
      <w:shd w:val="clear" w:color="auto" w:fill="111111"/>
    </w:rPr>
  </w:style>
  <w:style w:type="character" w:customStyle="1" w:styleId="231">
    <w:name w:val="tmpztreemove_arrow"/>
    <w:basedOn w:val="49"/>
    <w:uiPriority w:val="0"/>
  </w:style>
  <w:style w:type="character" w:customStyle="1" w:styleId="232">
    <w:name w:val="layui-layer-tabnow"/>
    <w:basedOn w:val="49"/>
    <w:uiPriority w:val="0"/>
    <w:rPr>
      <w:bdr w:val="single" w:color="CCCCCC" w:sz="6" w:space="0"/>
      <w:shd w:val="clear" w:color="auto" w:fill="FFFFFF"/>
    </w:rPr>
  </w:style>
  <w:style w:type="character" w:customStyle="1" w:styleId="233">
    <w:name w:val="cy"/>
    <w:basedOn w:val="49"/>
    <w:uiPriority w:val="0"/>
  </w:style>
  <w:style w:type="character" w:customStyle="1" w:styleId="234">
    <w:name w:val="iconline2"/>
    <w:basedOn w:val="49"/>
    <w:uiPriority w:val="0"/>
  </w:style>
  <w:style w:type="character" w:customStyle="1" w:styleId="235">
    <w:name w:val="button"/>
    <w:basedOn w:val="49"/>
    <w:uiPriority w:val="0"/>
  </w:style>
  <w:style w:type="character" w:customStyle="1" w:styleId="236">
    <w:name w:val="edit_class"/>
    <w:basedOn w:val="49"/>
    <w:uiPriority w:val="0"/>
  </w:style>
  <w:style w:type="character" w:customStyle="1" w:styleId="237">
    <w:name w:val="design_class"/>
    <w:basedOn w:val="49"/>
    <w:uiPriority w:val="0"/>
  </w:style>
  <w:style w:type="character" w:customStyle="1" w:styleId="238">
    <w:name w:val="after"/>
    <w:basedOn w:val="49"/>
    <w:uiPriority w:val="0"/>
    <w:rPr>
      <w:sz w:val="0"/>
      <w:szCs w:val="0"/>
    </w:rPr>
  </w:style>
  <w:style w:type="character" w:customStyle="1" w:styleId="239">
    <w:name w:val="icontext1"/>
    <w:basedOn w:val="49"/>
    <w:uiPriority w:val="0"/>
  </w:style>
  <w:style w:type="character" w:customStyle="1" w:styleId="240">
    <w:name w:val="icontext11"/>
    <w:basedOn w:val="49"/>
    <w:uiPriority w:val="0"/>
  </w:style>
  <w:style w:type="character" w:customStyle="1" w:styleId="241">
    <w:name w:val="icontext12"/>
    <w:basedOn w:val="49"/>
    <w:uiPriority w:val="0"/>
  </w:style>
  <w:style w:type="character" w:customStyle="1" w:styleId="242">
    <w:name w:val="associateddata"/>
    <w:basedOn w:val="49"/>
    <w:uiPriority w:val="0"/>
    <w:rPr>
      <w:shd w:val="clear" w:color="auto" w:fill="50A6F9"/>
    </w:rPr>
  </w:style>
  <w:style w:type="character" w:customStyle="1" w:styleId="243">
    <w:name w:val="icontext2"/>
    <w:basedOn w:val="49"/>
    <w:uiPriority w:val="0"/>
  </w:style>
  <w:style w:type="character" w:customStyle="1" w:styleId="244">
    <w:name w:val="icontext3"/>
    <w:basedOn w:val="49"/>
    <w:uiPriority w:val="0"/>
  </w:style>
  <w:style w:type="character" w:customStyle="1" w:styleId="245">
    <w:name w:val="biggerthanmax"/>
    <w:basedOn w:val="49"/>
    <w:uiPriority w:val="0"/>
    <w:rPr>
      <w:shd w:val="clear" w:color="auto" w:fill="FFFF00"/>
    </w:rPr>
  </w:style>
  <w:style w:type="character" w:customStyle="1" w:styleId="246">
    <w:name w:val="hilite"/>
    <w:basedOn w:val="49"/>
    <w:uiPriority w:val="0"/>
    <w:rPr>
      <w:color w:val="FFFFFF"/>
      <w:shd w:val="clear" w:color="auto" w:fill="666666"/>
    </w:rPr>
  </w:style>
  <w:style w:type="character" w:customStyle="1" w:styleId="247">
    <w:name w:val="choosename"/>
    <w:basedOn w:val="49"/>
    <w:uiPriority w:val="0"/>
  </w:style>
  <w:style w:type="character" w:customStyle="1" w:styleId="248">
    <w:name w:val="iconline21"/>
    <w:basedOn w:val="49"/>
    <w:uiPriority w:val="0"/>
  </w:style>
  <w:style w:type="character" w:customStyle="1" w:styleId="249">
    <w:name w:val="active1"/>
    <w:basedOn w:val="49"/>
    <w:uiPriority w:val="0"/>
    <w:rPr>
      <w:shd w:val="clear" w:color="auto" w:fill="EC3535"/>
    </w:rPr>
  </w:style>
  <w:style w:type="character" w:customStyle="1" w:styleId="250">
    <w:name w:val="ico1654"/>
    <w:basedOn w:val="49"/>
    <w:uiPriority w:val="0"/>
  </w:style>
  <w:style w:type="character" w:customStyle="1" w:styleId="251">
    <w:name w:val="ico1655"/>
    <w:basedOn w:val="49"/>
    <w:uiPriority w:val="0"/>
  </w:style>
  <w:style w:type="character" w:customStyle="1" w:styleId="252">
    <w:name w:val="hilite6"/>
    <w:basedOn w:val="49"/>
    <w:uiPriority w:val="0"/>
    <w:rPr>
      <w:color w:val="FFFFFF"/>
      <w:shd w:val="clear" w:color="auto" w:fill="666666"/>
    </w:rPr>
  </w:style>
  <w:style w:type="character" w:customStyle="1" w:styleId="253">
    <w:name w:val="active"/>
    <w:basedOn w:val="49"/>
    <w:uiPriority w:val="0"/>
    <w:rPr>
      <w:shd w:val="clear" w:color="auto" w:fill="EC3535"/>
    </w:rPr>
  </w:style>
  <w:style w:type="character" w:customStyle="1" w:styleId="254">
    <w:name w:val="hover4"/>
    <w:basedOn w:val="49"/>
    <w:uiPriority w:val="0"/>
    <w:rPr>
      <w:color w:val="FFFFFF"/>
    </w:rPr>
  </w:style>
  <w:style w:type="character" w:customStyle="1" w:styleId="255">
    <w:name w:val="xdrichtextbox4"/>
    <w:basedOn w:val="49"/>
    <w:uiPriority w:val="0"/>
  </w:style>
  <w:style w:type="paragraph" w:customStyle="1" w:styleId="256">
    <w:name w:val="正文_0"/>
    <w:next w:val="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1AC236-FF4B-4FDB-BF64-B4D65201C75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31</Pages>
  <Words>15544</Words>
  <Characters>16311</Characters>
  <Lines>129</Lines>
  <Paragraphs>36</Paragraphs>
  <TotalTime>28</TotalTime>
  <ScaleCrop>false</ScaleCrop>
  <LinksUpToDate>false</LinksUpToDate>
  <CharactersWithSpaces>17372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2022-09-21T07:14:05Z</dcterms:modified>
  <dc:title>公开招标文件（货物服务类）</dc:title>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2052-11.1.0.12358</vt:lpwstr>
  </property>
  <property fmtid="{D5CDD505-2E9C-101B-9397-08002B2CF9AE}" pid="6" name="ICV">
    <vt:lpwstr>7EFD1898B78A4345BC21372367C648C1</vt:lpwstr>
  </property>
</Properties>
</file>