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5"/>
        <w:rPr>
          <w:rFonts w:ascii="Times New Roman"/>
          <w:sz w:val="20"/>
          <w:lang w:eastAsia="zh-CN"/>
        </w:rPr>
      </w:pPr>
    </w:p>
    <w:p>
      <w:pPr>
        <w:pStyle w:val="25"/>
        <w:rPr>
          <w:rFonts w:ascii="Times New Roman"/>
          <w:sz w:val="20"/>
        </w:rPr>
      </w:pPr>
    </w:p>
    <w:p>
      <w:pPr>
        <w:pStyle w:val="25"/>
        <w:rPr>
          <w:rFonts w:ascii="Times New Roman"/>
          <w:sz w:val="20"/>
        </w:rPr>
      </w:pPr>
    </w:p>
    <w:p>
      <w:pPr>
        <w:pStyle w:val="25"/>
        <w:rPr>
          <w:rFonts w:ascii="Times New Roman"/>
          <w:sz w:val="20"/>
        </w:rPr>
      </w:pPr>
    </w:p>
    <w:p>
      <w:pPr>
        <w:pStyle w:val="25"/>
        <w:rPr>
          <w:rFonts w:ascii="Times New Roman"/>
          <w:sz w:val="20"/>
        </w:rPr>
      </w:pPr>
    </w:p>
    <w:p>
      <w:pPr>
        <w:pStyle w:val="25"/>
        <w:spacing w:before="5"/>
        <w:rPr>
          <w:rFonts w:ascii="Times New Roman"/>
          <w:sz w:val="20"/>
        </w:rPr>
      </w:pPr>
    </w:p>
    <w:p>
      <w:pPr>
        <w:pStyle w:val="25"/>
        <w:spacing w:line="480" w:lineRule="auto"/>
        <w:jc w:val="center"/>
        <w:rPr>
          <w:rFonts w:ascii="微软雅黑" w:eastAsia="微软雅黑"/>
          <w:b/>
          <w:sz w:val="44"/>
          <w:szCs w:val="44"/>
          <w:u w:val="single"/>
          <w:lang w:eastAsia="zh-CN"/>
        </w:rPr>
      </w:pPr>
      <w:r>
        <w:rPr>
          <w:rFonts w:hint="eastAsia" w:ascii="微软雅黑" w:eastAsia="微软雅黑"/>
          <w:b/>
          <w:sz w:val="44"/>
          <w:szCs w:val="44"/>
          <w:u w:val="single"/>
          <w:lang w:eastAsia="zh-CN"/>
        </w:rPr>
        <w:t>福建福海创石油化工有限公司</w:t>
      </w:r>
    </w:p>
    <w:p>
      <w:pPr>
        <w:pStyle w:val="25"/>
        <w:spacing w:line="480" w:lineRule="auto"/>
        <w:jc w:val="center"/>
        <w:rPr>
          <w:rFonts w:ascii="微软雅黑" w:eastAsia="微软雅黑"/>
          <w:b/>
          <w:sz w:val="44"/>
          <w:szCs w:val="44"/>
          <w:u w:val="single"/>
          <w:lang w:eastAsia="zh-CN"/>
        </w:rPr>
      </w:pPr>
    </w:p>
    <w:p>
      <w:pPr>
        <w:pStyle w:val="25"/>
        <w:spacing w:line="480" w:lineRule="auto"/>
        <w:jc w:val="center"/>
        <w:rPr>
          <w:rFonts w:ascii="微软雅黑" w:eastAsia="微软雅黑"/>
          <w:b/>
          <w:sz w:val="44"/>
          <w:szCs w:val="44"/>
          <w:u w:val="single"/>
          <w:lang w:eastAsia="zh-CN"/>
        </w:rPr>
      </w:pPr>
      <w:bookmarkStart w:id="0" w:name="OLE_LINK4"/>
      <w:r>
        <w:rPr>
          <w:rFonts w:hint="eastAsia" w:ascii="微软雅黑" w:eastAsia="微软雅黑"/>
          <w:b/>
          <w:sz w:val="44"/>
          <w:szCs w:val="44"/>
          <w:u w:val="single"/>
          <w:lang w:eastAsia="zh-CN"/>
        </w:rPr>
        <w:t>锅炉火检风源管改造发包项目</w:t>
      </w:r>
    </w:p>
    <w:bookmarkEnd w:id="0"/>
    <w:p>
      <w:pPr>
        <w:pStyle w:val="25"/>
        <w:spacing w:line="480" w:lineRule="auto"/>
        <w:jc w:val="center"/>
        <w:rPr>
          <w:rFonts w:ascii="微软雅黑" w:eastAsia="微软雅黑"/>
          <w:b/>
          <w:sz w:val="32"/>
          <w:szCs w:val="32"/>
          <w:u w:val="single"/>
          <w:lang w:eastAsia="zh-CN"/>
        </w:rPr>
      </w:pPr>
    </w:p>
    <w:p>
      <w:pPr>
        <w:pStyle w:val="25"/>
        <w:spacing w:line="480" w:lineRule="auto"/>
        <w:jc w:val="center"/>
        <w:rPr>
          <w:rFonts w:ascii="微软雅黑" w:eastAsia="微软雅黑"/>
          <w:b/>
          <w:sz w:val="44"/>
          <w:szCs w:val="44"/>
          <w:u w:val="single"/>
          <w:lang w:eastAsia="zh-CN"/>
        </w:rPr>
      </w:pPr>
      <w:r>
        <w:rPr>
          <w:rFonts w:hint="eastAsia" w:ascii="微软雅黑" w:eastAsia="微软雅黑"/>
          <w:b/>
          <w:sz w:val="44"/>
          <w:szCs w:val="44"/>
          <w:u w:val="single"/>
          <w:lang w:eastAsia="zh-CN"/>
        </w:rPr>
        <w:t>第</w:t>
      </w:r>
      <w:r>
        <w:rPr>
          <w:rFonts w:hint="eastAsia" w:ascii="微软雅黑" w:eastAsia="微软雅黑"/>
          <w:b/>
          <w:sz w:val="44"/>
          <w:szCs w:val="44"/>
          <w:u w:val="single"/>
          <w:lang w:val="en-US" w:eastAsia="zh-CN"/>
        </w:rPr>
        <w:t>三</w:t>
      </w:r>
      <w:r>
        <w:rPr>
          <w:rFonts w:hint="eastAsia" w:ascii="微软雅黑" w:eastAsia="微软雅黑"/>
          <w:b/>
          <w:sz w:val="44"/>
          <w:szCs w:val="44"/>
          <w:u w:val="single"/>
          <w:lang w:eastAsia="zh-CN"/>
        </w:rPr>
        <w:t>轮比选文件</w:t>
      </w:r>
    </w:p>
    <w:p>
      <w:pPr>
        <w:pStyle w:val="2"/>
        <w:jc w:val="center"/>
        <w:rPr>
          <w:sz w:val="28"/>
          <w:szCs w:val="28"/>
        </w:rPr>
      </w:pPr>
      <w:r>
        <w:rPr>
          <w:rFonts w:hint="eastAsia"/>
          <w:sz w:val="28"/>
          <w:szCs w:val="28"/>
        </w:rPr>
        <w:t>（文件编号：</w:t>
      </w:r>
      <w:r>
        <w:rPr>
          <w:rFonts w:hint="eastAsia"/>
          <w:sz w:val="28"/>
          <w:szCs w:val="28"/>
          <w:u w:val="single"/>
        </w:rPr>
        <w:t>FHC-PTCG20</w:t>
      </w:r>
      <w:r>
        <w:rPr>
          <w:sz w:val="28"/>
          <w:szCs w:val="28"/>
          <w:u w:val="single"/>
        </w:rPr>
        <w:t>220520005</w:t>
      </w:r>
      <w:r>
        <w:rPr>
          <w:rFonts w:hint="eastAsia"/>
          <w:sz w:val="28"/>
          <w:szCs w:val="28"/>
        </w:rPr>
        <w:t xml:space="preserve"> ）</w:t>
      </w:r>
    </w:p>
    <w:p>
      <w:pPr>
        <w:pStyle w:val="25"/>
        <w:tabs>
          <w:tab w:val="left" w:pos="6983"/>
        </w:tabs>
        <w:rPr>
          <w:rFonts w:ascii="微软雅黑"/>
          <w:b/>
          <w:sz w:val="32"/>
          <w:szCs w:val="32"/>
          <w:lang w:eastAsia="zh-CN"/>
        </w:rPr>
      </w:pPr>
      <w:r>
        <w:rPr>
          <w:rFonts w:ascii="微软雅黑"/>
          <w:b/>
          <w:sz w:val="94"/>
          <w:lang w:eastAsia="zh-CN"/>
        </w:rPr>
        <w:tab/>
      </w:r>
    </w:p>
    <w:p>
      <w:pPr>
        <w:pStyle w:val="25"/>
        <w:rPr>
          <w:rFonts w:ascii="微软雅黑"/>
          <w:b/>
          <w:sz w:val="32"/>
          <w:szCs w:val="32"/>
          <w:lang w:eastAsia="zh-CN"/>
        </w:rPr>
      </w:pPr>
    </w:p>
    <w:p>
      <w:pPr>
        <w:pStyle w:val="25"/>
        <w:rPr>
          <w:rFonts w:ascii="微软雅黑"/>
          <w:b/>
          <w:sz w:val="32"/>
          <w:szCs w:val="32"/>
          <w:lang w:eastAsia="zh-CN"/>
        </w:rPr>
      </w:pPr>
    </w:p>
    <w:p>
      <w:pPr>
        <w:pStyle w:val="25"/>
        <w:rPr>
          <w:rFonts w:ascii="微软雅黑"/>
          <w:b/>
          <w:sz w:val="32"/>
          <w:szCs w:val="32"/>
          <w:lang w:eastAsia="zh-CN"/>
        </w:rPr>
      </w:pPr>
    </w:p>
    <w:p>
      <w:pPr>
        <w:pStyle w:val="25"/>
        <w:rPr>
          <w:rFonts w:ascii="微软雅黑"/>
          <w:b/>
          <w:sz w:val="32"/>
          <w:szCs w:val="32"/>
          <w:lang w:eastAsia="zh-CN"/>
        </w:rPr>
      </w:pPr>
    </w:p>
    <w:p>
      <w:pPr>
        <w:pStyle w:val="2"/>
        <w:jc w:val="center"/>
        <w:rPr>
          <w:rFonts w:ascii="微软雅黑" w:hAnsi="微软雅黑" w:eastAsia="微软雅黑"/>
          <w:b/>
          <w:sz w:val="28"/>
          <w:szCs w:val="28"/>
        </w:rPr>
      </w:pPr>
      <w:r>
        <w:rPr>
          <w:rFonts w:hint="eastAsia" w:ascii="微软雅黑" w:hAnsi="微软雅黑" w:eastAsia="微软雅黑"/>
          <w:b/>
          <w:sz w:val="28"/>
          <w:szCs w:val="28"/>
        </w:rPr>
        <w:t>福建</w:t>
      </w:r>
      <w:r>
        <w:rPr>
          <w:rFonts w:ascii="微软雅黑" w:hAnsi="微软雅黑" w:eastAsia="微软雅黑"/>
          <w:b/>
          <w:sz w:val="28"/>
          <w:szCs w:val="28"/>
        </w:rPr>
        <w:t>福海创石油化工有限公司</w:t>
      </w:r>
      <w:r>
        <w:rPr>
          <w:rFonts w:hint="eastAsia" w:ascii="微软雅黑" w:hAnsi="微软雅黑" w:eastAsia="微软雅黑"/>
          <w:b/>
          <w:sz w:val="28"/>
          <w:szCs w:val="28"/>
        </w:rPr>
        <w:t>编制</w:t>
      </w:r>
    </w:p>
    <w:p>
      <w:pPr>
        <w:spacing w:line="271" w:lineRule="auto"/>
        <w:ind w:right="1889"/>
        <w:rPr>
          <w:rFonts w:ascii="微软雅黑" w:eastAsia="微软雅黑"/>
          <w:b/>
          <w:sz w:val="32"/>
          <w:lang w:eastAsia="zh-CN"/>
        </w:rPr>
      </w:pPr>
      <w:r>
        <w:rPr>
          <w:rFonts w:hint="eastAsia" w:ascii="微软雅黑" w:eastAsia="微软雅黑"/>
          <w:b/>
          <w:w w:val="95"/>
          <w:sz w:val="32"/>
          <w:lang w:eastAsia="zh-CN"/>
        </w:rPr>
        <w:t xml:space="preserve">                                  </w:t>
      </w:r>
      <w:r>
        <w:rPr>
          <w:rFonts w:ascii="微软雅黑" w:eastAsia="微软雅黑"/>
          <w:b/>
          <w:w w:val="95"/>
          <w:sz w:val="32"/>
          <w:lang w:eastAsia="zh-CN"/>
        </w:rPr>
        <w:t xml:space="preserve">         </w:t>
      </w:r>
      <w:r>
        <w:rPr>
          <w:rFonts w:hint="eastAsia" w:ascii="微软雅黑" w:eastAsia="微软雅黑"/>
          <w:b/>
          <w:w w:val="95"/>
          <w:sz w:val="32"/>
          <w:lang w:eastAsia="zh-CN"/>
        </w:rPr>
        <w:t>二〇二二年</w:t>
      </w:r>
      <w:r>
        <w:rPr>
          <w:rFonts w:hint="eastAsia" w:ascii="微软雅黑" w:eastAsia="微软雅黑"/>
          <w:b/>
          <w:w w:val="95"/>
          <w:sz w:val="32"/>
          <w:lang w:val="en-US" w:eastAsia="zh-CN"/>
        </w:rPr>
        <w:t>七</w:t>
      </w:r>
      <w:r>
        <w:rPr>
          <w:rFonts w:hint="eastAsia" w:ascii="微软雅黑" w:eastAsia="微软雅黑"/>
          <w:b/>
          <w:w w:val="95"/>
          <w:sz w:val="32"/>
          <w:lang w:eastAsia="zh-CN"/>
        </w:rPr>
        <w:t>月</w:t>
      </w:r>
    </w:p>
    <w:p>
      <w:pPr>
        <w:tabs>
          <w:tab w:val="left" w:pos="720"/>
          <w:tab w:val="left" w:pos="1440"/>
          <w:tab w:val="left" w:pos="2160"/>
          <w:tab w:val="left" w:pos="2880"/>
          <w:tab w:val="left" w:pos="3600"/>
          <w:tab w:val="center" w:pos="4275"/>
          <w:tab w:val="left" w:pos="4320"/>
          <w:tab w:val="left" w:pos="7078"/>
        </w:tabs>
        <w:spacing w:line="271" w:lineRule="auto"/>
        <w:rPr>
          <w:rFonts w:ascii="微软雅黑" w:eastAsia="微软雅黑"/>
          <w:sz w:val="32"/>
          <w:lang w:eastAsia="zh-CN"/>
        </w:rPr>
      </w:pP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p>
    <w:p>
      <w:pPr>
        <w:widowControl/>
        <w:autoSpaceDE/>
        <w:autoSpaceDN/>
        <w:rPr>
          <w:rFonts w:ascii="黑体" w:eastAsia="黑体"/>
          <w:sz w:val="32"/>
          <w:lang w:eastAsia="zh-CN"/>
        </w:rPr>
      </w:pPr>
      <w:r>
        <w:rPr>
          <w:rFonts w:ascii="黑体" w:eastAsia="黑体"/>
          <w:sz w:val="32"/>
          <w:lang w:eastAsia="zh-CN"/>
        </w:rPr>
        <w:br w:type="page"/>
      </w:r>
    </w:p>
    <w:p>
      <w:pPr>
        <w:tabs>
          <w:tab w:val="center" w:pos="4275"/>
          <w:tab w:val="left" w:pos="7078"/>
        </w:tabs>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pPr>
        <w:pStyle w:val="25"/>
        <w:rPr>
          <w:rFonts w:ascii="黑体"/>
          <w:sz w:val="20"/>
          <w:lang w:eastAsia="zh-CN"/>
        </w:rPr>
      </w:pPr>
    </w:p>
    <w:p>
      <w:pPr>
        <w:pStyle w:val="25"/>
        <w:rPr>
          <w:rFonts w:ascii="黑体"/>
          <w:sz w:val="20"/>
          <w:lang w:eastAsia="zh-CN"/>
        </w:rPr>
      </w:pPr>
    </w:p>
    <w:p>
      <w:pPr>
        <w:pStyle w:val="25"/>
        <w:spacing w:before="9"/>
        <w:rPr>
          <w:rFonts w:ascii="黑体"/>
          <w:lang w:eastAsia="zh-CN"/>
        </w:rPr>
      </w:pPr>
    </w:p>
    <w:p>
      <w:pPr>
        <w:tabs>
          <w:tab w:val="left" w:pos="709"/>
        </w:tabs>
        <w:spacing w:line="360" w:lineRule="auto"/>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r>
      <w:r>
        <w:rPr>
          <w:sz w:val="24"/>
          <w:szCs w:val="24"/>
          <w:lang w:eastAsia="zh-CN"/>
        </w:rPr>
        <w:t xml:space="preserve">比选公告 </w:t>
      </w:r>
      <w:r>
        <w:rPr>
          <w:rFonts w:hint="eastAsia"/>
          <w:sz w:val="24"/>
          <w:szCs w:val="24"/>
          <w:lang w:eastAsia="zh-CN"/>
        </w:rPr>
        <w:t xml:space="preserve">    </w:t>
      </w:r>
    </w:p>
    <w:p>
      <w:pPr>
        <w:tabs>
          <w:tab w:val="left" w:pos="709"/>
        </w:tabs>
        <w:spacing w:line="360" w:lineRule="auto"/>
        <w:ind w:firstLine="480" w:firstLineChars="200"/>
        <w:rPr>
          <w:sz w:val="24"/>
          <w:szCs w:val="24"/>
          <w:lang w:eastAsia="zh-CN"/>
        </w:rPr>
      </w:pPr>
      <w:r>
        <w:rPr>
          <w:sz w:val="24"/>
          <w:szCs w:val="24"/>
          <w:lang w:eastAsia="zh-CN"/>
        </w:rPr>
        <w:t>第二章</w:t>
      </w:r>
      <w:r>
        <w:rPr>
          <w:sz w:val="24"/>
          <w:szCs w:val="24"/>
          <w:lang w:eastAsia="zh-CN"/>
        </w:rPr>
        <w:tab/>
      </w:r>
      <w:r>
        <w:rPr>
          <w:sz w:val="24"/>
          <w:szCs w:val="24"/>
          <w:lang w:eastAsia="zh-CN"/>
        </w:rPr>
        <w:t>比选须知</w:t>
      </w:r>
    </w:p>
    <w:p>
      <w:pPr>
        <w:tabs>
          <w:tab w:val="left" w:pos="709"/>
        </w:tabs>
        <w:spacing w:line="360" w:lineRule="auto"/>
        <w:ind w:firstLine="480" w:firstLineChars="20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pPr>
        <w:tabs>
          <w:tab w:val="left" w:pos="709"/>
        </w:tabs>
        <w:spacing w:line="360" w:lineRule="auto"/>
        <w:ind w:firstLine="480" w:firstLineChars="200"/>
        <w:rPr>
          <w:sz w:val="24"/>
          <w:szCs w:val="24"/>
          <w:lang w:eastAsia="zh-CN"/>
        </w:rPr>
      </w:pPr>
      <w:r>
        <w:rPr>
          <w:sz w:val="24"/>
          <w:szCs w:val="24"/>
          <w:lang w:eastAsia="zh-CN"/>
        </w:rPr>
        <w:t>第四章</w:t>
      </w:r>
      <w:r>
        <w:rPr>
          <w:sz w:val="24"/>
          <w:szCs w:val="24"/>
          <w:lang w:eastAsia="zh-CN"/>
        </w:rPr>
        <w:tab/>
      </w:r>
      <w:r>
        <w:rPr>
          <w:sz w:val="24"/>
          <w:szCs w:val="24"/>
          <w:lang w:eastAsia="zh-CN"/>
        </w:rPr>
        <w:t>评比规则</w:t>
      </w:r>
    </w:p>
    <w:p>
      <w:pPr>
        <w:tabs>
          <w:tab w:val="left" w:pos="709"/>
        </w:tabs>
        <w:spacing w:line="360" w:lineRule="auto"/>
        <w:ind w:firstLine="480" w:firstLineChars="200"/>
        <w:rPr>
          <w:sz w:val="24"/>
          <w:szCs w:val="24"/>
          <w:lang w:eastAsia="zh-CN"/>
        </w:rPr>
      </w:pPr>
      <w:r>
        <w:rPr>
          <w:sz w:val="24"/>
          <w:szCs w:val="24"/>
          <w:lang w:eastAsia="zh-CN"/>
        </w:rPr>
        <w:t>第五章</w:t>
      </w:r>
      <w:r>
        <w:rPr>
          <w:sz w:val="24"/>
          <w:szCs w:val="24"/>
          <w:lang w:eastAsia="zh-CN"/>
        </w:rPr>
        <w:tab/>
      </w:r>
      <w:r>
        <w:rPr>
          <w:sz w:val="24"/>
          <w:szCs w:val="24"/>
          <w:lang w:eastAsia="zh-CN"/>
        </w:rPr>
        <w:t>合同授予</w:t>
      </w:r>
    </w:p>
    <w:p>
      <w:pPr>
        <w:tabs>
          <w:tab w:val="left" w:pos="709"/>
        </w:tabs>
        <w:spacing w:line="360" w:lineRule="auto"/>
        <w:ind w:firstLine="480" w:firstLineChars="200"/>
        <w:rPr>
          <w:sz w:val="24"/>
          <w:szCs w:val="24"/>
          <w:lang w:eastAsia="zh-CN"/>
        </w:rPr>
      </w:pPr>
      <w:r>
        <w:rPr>
          <w:sz w:val="24"/>
          <w:szCs w:val="24"/>
          <w:lang w:eastAsia="zh-CN"/>
        </w:rPr>
        <w:t>第六章</w:t>
      </w:r>
      <w:r>
        <w:rPr>
          <w:sz w:val="24"/>
          <w:szCs w:val="24"/>
          <w:lang w:eastAsia="zh-CN"/>
        </w:rPr>
        <w:tab/>
      </w:r>
      <w:r>
        <w:rPr>
          <w:sz w:val="24"/>
          <w:szCs w:val="24"/>
          <w:lang w:eastAsia="zh-CN"/>
        </w:rPr>
        <w:t>中选后相关履约要求</w:t>
      </w:r>
    </w:p>
    <w:p>
      <w:pPr>
        <w:tabs>
          <w:tab w:val="left" w:pos="709"/>
        </w:tabs>
        <w:spacing w:line="360" w:lineRule="auto"/>
        <w:ind w:firstLine="480" w:firstLineChars="200"/>
        <w:rPr>
          <w:sz w:val="24"/>
          <w:szCs w:val="24"/>
          <w:lang w:eastAsia="zh-CN"/>
        </w:rPr>
      </w:pPr>
      <w:r>
        <w:rPr>
          <w:sz w:val="24"/>
          <w:szCs w:val="24"/>
          <w:lang w:eastAsia="zh-CN"/>
        </w:rPr>
        <w:t>第七章</w:t>
      </w:r>
      <w:r>
        <w:rPr>
          <w:sz w:val="24"/>
          <w:szCs w:val="24"/>
          <w:lang w:eastAsia="zh-CN"/>
        </w:rPr>
        <w:tab/>
      </w:r>
      <w:r>
        <w:rPr>
          <w:sz w:val="24"/>
          <w:szCs w:val="24"/>
          <w:lang w:eastAsia="zh-CN"/>
        </w:rPr>
        <w:t>其它</w:t>
      </w: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r>
        <w:rPr>
          <w:sz w:val="24"/>
          <w:szCs w:val="24"/>
          <w:lang w:eastAsia="zh-CN"/>
        </w:rPr>
        <w:t>附件一</w:t>
      </w:r>
      <w:r>
        <w:rPr>
          <w:rFonts w:hint="eastAsia"/>
          <w:sz w:val="24"/>
          <w:szCs w:val="24"/>
          <w:lang w:eastAsia="zh-CN"/>
        </w:rPr>
        <w:t>：合同格式书</w:t>
      </w:r>
    </w:p>
    <w:p>
      <w:pPr>
        <w:tabs>
          <w:tab w:val="left" w:pos="709"/>
        </w:tabs>
        <w:spacing w:line="360" w:lineRule="auto"/>
        <w:ind w:firstLine="480" w:firstLineChars="200"/>
        <w:rPr>
          <w:sz w:val="24"/>
          <w:szCs w:val="24"/>
          <w:lang w:eastAsia="zh-CN"/>
        </w:rPr>
      </w:pPr>
      <w:r>
        <w:rPr>
          <w:sz w:val="24"/>
          <w:szCs w:val="24"/>
          <w:lang w:eastAsia="zh-CN"/>
        </w:rPr>
        <w:t>附件二：参选文件（范本）</w:t>
      </w:r>
    </w:p>
    <w:p>
      <w:pPr>
        <w:widowControl/>
        <w:autoSpaceDE/>
        <w:autoSpaceDN/>
        <w:rPr>
          <w:sz w:val="28"/>
          <w:lang w:eastAsia="zh-CN"/>
        </w:rPr>
      </w:pPr>
      <w:r>
        <w:rPr>
          <w:sz w:val="28"/>
          <w:lang w:eastAsia="zh-CN"/>
        </w:rPr>
        <w:br w:type="page"/>
      </w:r>
    </w:p>
    <w:p>
      <w:pPr>
        <w:tabs>
          <w:tab w:val="left" w:pos="1272"/>
        </w:tabs>
        <w:spacing w:line="355" w:lineRule="exact"/>
        <w:ind w:left="9"/>
        <w:jc w:val="center"/>
        <w:rPr>
          <w:b/>
          <w:sz w:val="28"/>
          <w:lang w:eastAsia="zh-CN"/>
        </w:rPr>
      </w:pPr>
      <w:r>
        <w:rPr>
          <w:b/>
          <w:sz w:val="28"/>
          <w:lang w:eastAsia="zh-CN"/>
        </w:rPr>
        <w:t>第一章</w:t>
      </w:r>
      <w:r>
        <w:rPr>
          <w:b/>
          <w:sz w:val="28"/>
          <w:lang w:eastAsia="zh-CN"/>
        </w:rPr>
        <w:tab/>
      </w:r>
      <w:r>
        <w:rPr>
          <w:b/>
          <w:spacing w:val="-1"/>
          <w:w w:val="95"/>
          <w:sz w:val="28"/>
          <w:lang w:eastAsia="zh-CN"/>
        </w:rPr>
        <w:t>比选公</w:t>
      </w:r>
      <w:r>
        <w:rPr>
          <w:b/>
          <w:w w:val="95"/>
          <w:sz w:val="28"/>
          <w:lang w:eastAsia="zh-CN"/>
        </w:rPr>
        <w:t>告</w:t>
      </w:r>
    </w:p>
    <w:p>
      <w:pPr>
        <w:pStyle w:val="25"/>
        <w:spacing w:line="360" w:lineRule="auto"/>
        <w:ind w:right="121"/>
        <w:jc w:val="both"/>
        <w:rPr>
          <w:lang w:eastAsia="zh-CN"/>
        </w:rPr>
      </w:pPr>
      <w:r>
        <w:rPr>
          <w:rFonts w:hint="eastAsia"/>
          <w:lang w:eastAsia="zh-CN"/>
        </w:rPr>
        <w:t xml:space="preserve">    </w:t>
      </w:r>
    </w:p>
    <w:p>
      <w:pPr>
        <w:jc w:val="center"/>
        <w:rPr>
          <w:b/>
          <w:bCs/>
          <w:sz w:val="32"/>
          <w:lang w:eastAsia="zh-CN"/>
        </w:rPr>
      </w:pPr>
      <w:r>
        <w:rPr>
          <w:rFonts w:hint="eastAsia"/>
          <w:b/>
          <w:bCs/>
          <w:sz w:val="32"/>
          <w:lang w:eastAsia="zh-CN"/>
        </w:rPr>
        <w:t>福建福海创石油化工有限公司</w:t>
      </w:r>
    </w:p>
    <w:p>
      <w:pPr>
        <w:jc w:val="center"/>
        <w:rPr>
          <w:b/>
          <w:bCs/>
          <w:sz w:val="32"/>
          <w:lang w:eastAsia="zh-CN"/>
        </w:rPr>
      </w:pPr>
      <w:r>
        <w:rPr>
          <w:rFonts w:hint="eastAsia"/>
          <w:b/>
          <w:bCs/>
          <w:sz w:val="32"/>
          <w:lang w:eastAsia="zh-CN"/>
        </w:rPr>
        <w:t>锅炉火检风源管改造发包项目</w:t>
      </w:r>
    </w:p>
    <w:p>
      <w:pPr>
        <w:jc w:val="center"/>
        <w:rPr>
          <w:b/>
          <w:bCs/>
          <w:sz w:val="32"/>
          <w:lang w:eastAsia="zh-CN"/>
        </w:rPr>
      </w:pPr>
      <w:r>
        <w:rPr>
          <w:rFonts w:hint="eastAsia"/>
          <w:b/>
          <w:bCs/>
          <w:sz w:val="32"/>
          <w:lang w:eastAsia="zh-CN"/>
        </w:rPr>
        <w:t>第</w:t>
      </w:r>
      <w:r>
        <w:rPr>
          <w:rFonts w:hint="eastAsia"/>
          <w:b/>
          <w:bCs/>
          <w:sz w:val="32"/>
          <w:lang w:val="en-US" w:eastAsia="zh-CN"/>
        </w:rPr>
        <w:t>三</w:t>
      </w:r>
      <w:r>
        <w:rPr>
          <w:rFonts w:hint="eastAsia"/>
          <w:b/>
          <w:bCs/>
          <w:sz w:val="32"/>
          <w:lang w:eastAsia="zh-CN"/>
        </w:rPr>
        <w:t>轮比选公告</w:t>
      </w:r>
    </w:p>
    <w:p>
      <w:pPr>
        <w:spacing w:line="360" w:lineRule="auto"/>
        <w:ind w:firstLine="550" w:firstLineChars="250"/>
        <w:rPr>
          <w:bCs/>
          <w:szCs w:val="21"/>
          <w:lang w:eastAsia="zh-CN"/>
        </w:rPr>
      </w:pPr>
    </w:p>
    <w:p>
      <w:pPr>
        <w:spacing w:line="360" w:lineRule="auto"/>
        <w:ind w:firstLine="550" w:firstLineChars="250"/>
        <w:rPr>
          <w:bCs/>
          <w:szCs w:val="21"/>
          <w:lang w:eastAsia="zh-CN"/>
        </w:rPr>
      </w:pPr>
      <w:r>
        <w:rPr>
          <w:rFonts w:hint="eastAsia"/>
          <w:bCs/>
          <w:szCs w:val="21"/>
          <w:lang w:eastAsia="zh-CN"/>
        </w:rPr>
        <w:t>福建福海创石油化工有限公司就</w:t>
      </w:r>
      <w:r>
        <w:rPr>
          <w:bCs/>
          <w:szCs w:val="21"/>
          <w:u w:val="single"/>
          <w:lang w:eastAsia="zh-CN"/>
        </w:rPr>
        <w:t xml:space="preserve"> </w:t>
      </w:r>
      <w:r>
        <w:rPr>
          <w:rFonts w:hint="eastAsia"/>
          <w:bCs/>
          <w:szCs w:val="21"/>
          <w:u w:val="single"/>
          <w:lang w:eastAsia="zh-CN"/>
        </w:rPr>
        <w:t>“锅炉火检风源管改造发包项目（项目编号：FHC-PTCG20</w:t>
      </w:r>
      <w:r>
        <w:rPr>
          <w:bCs/>
          <w:szCs w:val="21"/>
          <w:u w:val="single"/>
          <w:lang w:eastAsia="zh-CN"/>
        </w:rPr>
        <w:t>220520005</w:t>
      </w:r>
      <w:r>
        <w:rPr>
          <w:rFonts w:hint="eastAsia"/>
          <w:bCs/>
          <w:szCs w:val="21"/>
          <w:u w:val="single"/>
          <w:lang w:eastAsia="zh-CN"/>
        </w:rPr>
        <w:t>）”</w:t>
      </w:r>
      <w:r>
        <w:rPr>
          <w:rFonts w:hint="eastAsia"/>
          <w:bCs/>
          <w:szCs w:val="21"/>
          <w:lang w:eastAsia="zh-CN"/>
        </w:rPr>
        <w:t>进行国内公开比选，</w:t>
      </w:r>
      <w:r>
        <w:rPr>
          <w:rFonts w:hint="eastAsia"/>
          <w:bCs/>
          <w:spacing w:val="-2"/>
          <w:szCs w:val="21"/>
          <w:lang w:eastAsia="zh-CN"/>
        </w:rPr>
        <w:t>欢迎国内符合条件的供应商积极参选。</w:t>
      </w:r>
    </w:p>
    <w:p>
      <w:pPr>
        <w:pStyle w:val="86"/>
        <w:numPr>
          <w:ilvl w:val="0"/>
          <w:numId w:val="6"/>
        </w:numPr>
        <w:autoSpaceDE/>
        <w:autoSpaceDN/>
        <w:spacing w:before="0" w:line="360" w:lineRule="auto"/>
        <w:jc w:val="both"/>
        <w:rPr>
          <w:b/>
          <w:bCs/>
          <w:szCs w:val="21"/>
        </w:rPr>
      </w:pPr>
      <w:r>
        <w:rPr>
          <w:rFonts w:hint="eastAsia"/>
          <w:b/>
          <w:bCs/>
          <w:szCs w:val="21"/>
        </w:rPr>
        <w:t>项目概况</w:t>
      </w:r>
    </w:p>
    <w:p>
      <w:pPr>
        <w:pStyle w:val="86"/>
        <w:numPr>
          <w:ilvl w:val="0"/>
          <w:numId w:val="7"/>
        </w:numPr>
        <w:autoSpaceDE/>
        <w:autoSpaceDN/>
        <w:spacing w:before="0" w:line="360" w:lineRule="auto"/>
        <w:jc w:val="both"/>
        <w:rPr>
          <w:bCs/>
          <w:szCs w:val="21"/>
          <w:lang w:eastAsia="zh-CN"/>
        </w:rPr>
      </w:pPr>
      <w:r>
        <w:rPr>
          <w:rFonts w:hint="eastAsia"/>
          <w:bCs/>
          <w:szCs w:val="21"/>
          <w:lang w:eastAsia="zh-CN"/>
        </w:rPr>
        <w:t>项目名称：锅炉火检风源管改造发包项目。</w:t>
      </w:r>
    </w:p>
    <w:p>
      <w:pPr>
        <w:pStyle w:val="86"/>
        <w:numPr>
          <w:ilvl w:val="0"/>
          <w:numId w:val="7"/>
        </w:numPr>
        <w:autoSpaceDE/>
        <w:autoSpaceDN/>
        <w:spacing w:before="0" w:line="360" w:lineRule="auto"/>
        <w:rPr>
          <w:lang w:eastAsia="zh-CN"/>
        </w:rPr>
      </w:pPr>
      <w:r>
        <w:rPr>
          <w:rFonts w:hint="eastAsia"/>
          <w:lang w:eastAsia="zh-CN"/>
        </w:rPr>
        <w:t>比选项目简要说明：</w:t>
      </w:r>
    </w:p>
    <w:p>
      <w:pPr>
        <w:spacing w:line="360" w:lineRule="auto"/>
        <w:rPr>
          <w:lang w:eastAsia="zh-CN"/>
        </w:rPr>
      </w:pPr>
      <w:r>
        <w:rPr>
          <w:rFonts w:hint="eastAsia"/>
          <w:lang w:eastAsia="zh-CN"/>
        </w:rPr>
        <w:t>比选人</w:t>
      </w:r>
      <w:r>
        <w:rPr>
          <w:rFonts w:hint="eastAsia"/>
          <w:bCs/>
          <w:szCs w:val="21"/>
          <w:lang w:eastAsia="zh-CN"/>
        </w:rPr>
        <w:t>热电厂4套锅炉火检风源管改造发包，</w:t>
      </w:r>
      <w:r>
        <w:rPr>
          <w:rFonts w:hint="eastAsia"/>
          <w:szCs w:val="24"/>
          <w:lang w:val="en-GB" w:eastAsia="zh-CN"/>
        </w:rPr>
        <w:t>利用现有</w:t>
      </w:r>
      <w:r>
        <w:rPr>
          <w:szCs w:val="24"/>
          <w:lang w:val="en-GB" w:eastAsia="zh-CN"/>
        </w:rPr>
        <w:t>锅炉冷一次风管道</w:t>
      </w:r>
      <w:r>
        <w:rPr>
          <w:rFonts w:hint="eastAsia"/>
          <w:szCs w:val="24"/>
          <w:lang w:val="en-GB" w:eastAsia="zh-CN"/>
        </w:rPr>
        <w:t>及</w:t>
      </w:r>
      <w:r>
        <w:rPr>
          <w:szCs w:val="24"/>
          <w:lang w:val="en-GB" w:eastAsia="zh-CN"/>
        </w:rPr>
        <w:t>火检冷却风管道，</w:t>
      </w:r>
      <w:r>
        <w:rPr>
          <w:rFonts w:hint="eastAsia"/>
          <w:szCs w:val="24"/>
          <w:lang w:val="en-GB" w:eastAsia="zh-CN"/>
        </w:rPr>
        <w:t>通过</w:t>
      </w:r>
      <w:r>
        <w:rPr>
          <w:szCs w:val="24"/>
          <w:lang w:val="en-GB" w:eastAsia="zh-CN"/>
        </w:rPr>
        <w:t>联络管道、</w:t>
      </w:r>
      <w:r>
        <w:rPr>
          <w:rFonts w:hint="eastAsia"/>
          <w:szCs w:val="24"/>
          <w:lang w:val="en-GB" w:eastAsia="zh-CN"/>
        </w:rPr>
        <w:t>隔断门、</w:t>
      </w:r>
      <w:r>
        <w:rPr>
          <w:szCs w:val="24"/>
          <w:lang w:val="en-GB" w:eastAsia="zh-CN"/>
        </w:rPr>
        <w:t>止回阀等，</w:t>
      </w:r>
      <w:r>
        <w:rPr>
          <w:rFonts w:hint="eastAsia"/>
          <w:szCs w:val="24"/>
          <w:lang w:eastAsia="zh-CN"/>
        </w:rPr>
        <w:t>对腾龙芳烃（漳州）有限公司热电厂锅炉火检冷却风源</w:t>
      </w:r>
      <w:r>
        <w:rPr>
          <w:szCs w:val="24"/>
          <w:lang w:eastAsia="zh-CN"/>
        </w:rPr>
        <w:t>进行</w:t>
      </w:r>
      <w:r>
        <w:rPr>
          <w:rFonts w:hint="eastAsia"/>
          <w:szCs w:val="24"/>
          <w:lang w:eastAsia="zh-CN"/>
        </w:rPr>
        <w:t>改造。</w:t>
      </w:r>
      <w:r>
        <w:rPr>
          <w:rFonts w:hint="eastAsia"/>
          <w:bCs/>
          <w:szCs w:val="21"/>
          <w:lang w:eastAsia="zh-CN"/>
        </w:rPr>
        <w:t>具体内容和要求详见比选文件合同格式书附件一《腾龙芳烃（漳州）有限公司热电厂锅炉火检风源管改造技术规范书》。</w:t>
      </w:r>
    </w:p>
    <w:p>
      <w:pPr>
        <w:pStyle w:val="86"/>
        <w:numPr>
          <w:ilvl w:val="0"/>
          <w:numId w:val="7"/>
        </w:numPr>
        <w:autoSpaceDE/>
        <w:autoSpaceDN/>
        <w:spacing w:before="0" w:line="360" w:lineRule="auto"/>
        <w:jc w:val="both"/>
        <w:rPr>
          <w:lang w:eastAsia="zh-CN"/>
        </w:rPr>
      </w:pPr>
      <w:r>
        <w:rPr>
          <w:rFonts w:hint="eastAsia"/>
          <w:lang w:eastAsia="zh-CN"/>
        </w:rPr>
        <w:t>施</w:t>
      </w:r>
      <w:r>
        <w:rPr>
          <w:lang w:eastAsia="zh-CN"/>
        </w:rPr>
        <w:t>工工期：</w:t>
      </w:r>
      <w:r>
        <w:rPr>
          <w:szCs w:val="24"/>
          <w:lang w:eastAsia="zh-CN"/>
        </w:rPr>
        <w:t>合同签订</w:t>
      </w:r>
      <w:r>
        <w:rPr>
          <w:rFonts w:hint="eastAsia"/>
          <w:szCs w:val="24"/>
          <w:lang w:eastAsia="zh-CN"/>
        </w:rPr>
        <w:t>之日</w:t>
      </w:r>
      <w:r>
        <w:rPr>
          <w:szCs w:val="24"/>
          <w:lang w:eastAsia="zh-CN"/>
        </w:rPr>
        <w:t>起1</w:t>
      </w:r>
      <w:r>
        <w:rPr>
          <w:rFonts w:hint="eastAsia"/>
          <w:szCs w:val="24"/>
          <w:lang w:eastAsia="zh-CN"/>
        </w:rPr>
        <w:t>2</w:t>
      </w:r>
      <w:r>
        <w:rPr>
          <w:szCs w:val="24"/>
          <w:lang w:eastAsia="zh-CN"/>
        </w:rPr>
        <w:t>0天内（包含节假日）完成全部改造内容的安装调试并移交招标人</w:t>
      </w:r>
      <w:r>
        <w:rPr>
          <w:rFonts w:hint="eastAsia"/>
          <w:szCs w:val="24"/>
          <w:lang w:eastAsia="zh-CN"/>
        </w:rPr>
        <w:t>，其中首套锅炉火检</w:t>
      </w:r>
      <w:r>
        <w:rPr>
          <w:szCs w:val="24"/>
          <w:lang w:eastAsia="zh-CN"/>
        </w:rPr>
        <w:t>风源管改造</w:t>
      </w:r>
      <w:r>
        <w:rPr>
          <w:rFonts w:hint="eastAsia"/>
          <w:szCs w:val="24"/>
          <w:lang w:eastAsia="zh-CN"/>
        </w:rPr>
        <w:t>须在合签订之日起3</w:t>
      </w:r>
      <w:r>
        <w:rPr>
          <w:szCs w:val="24"/>
          <w:lang w:eastAsia="zh-CN"/>
        </w:rPr>
        <w:t>5</w:t>
      </w:r>
      <w:r>
        <w:rPr>
          <w:rFonts w:hint="eastAsia"/>
          <w:szCs w:val="24"/>
          <w:lang w:eastAsia="zh-CN"/>
        </w:rPr>
        <w:t>天内</w:t>
      </w:r>
      <w:r>
        <w:rPr>
          <w:szCs w:val="24"/>
          <w:lang w:eastAsia="zh-CN"/>
        </w:rPr>
        <w:t>（包含节假日）</w:t>
      </w:r>
      <w:r>
        <w:rPr>
          <w:rFonts w:hint="eastAsia"/>
          <w:szCs w:val="24"/>
          <w:lang w:eastAsia="zh-CN"/>
        </w:rPr>
        <w:t>具备开工改造条件</w:t>
      </w:r>
      <w:r>
        <w:rPr>
          <w:szCs w:val="24"/>
          <w:lang w:eastAsia="zh-CN"/>
        </w:rPr>
        <w:t>，其他三套改造时间需根据比选人实际的生产情况安排。</w:t>
      </w:r>
    </w:p>
    <w:p>
      <w:pPr>
        <w:pStyle w:val="86"/>
        <w:numPr>
          <w:ilvl w:val="0"/>
          <w:numId w:val="6"/>
        </w:numPr>
        <w:autoSpaceDE/>
        <w:autoSpaceDN/>
        <w:spacing w:before="0" w:line="360" w:lineRule="auto"/>
        <w:jc w:val="both"/>
        <w:rPr>
          <w:b/>
          <w:bCs/>
          <w:szCs w:val="21"/>
        </w:rPr>
      </w:pPr>
      <w:r>
        <w:rPr>
          <w:rFonts w:hint="eastAsia"/>
          <w:b/>
          <w:bCs/>
          <w:szCs w:val="21"/>
        </w:rPr>
        <w:t>参选人资格要求</w:t>
      </w:r>
    </w:p>
    <w:p>
      <w:pPr>
        <w:pStyle w:val="86"/>
        <w:numPr>
          <w:ilvl w:val="0"/>
          <w:numId w:val="8"/>
        </w:numPr>
        <w:autoSpaceDE/>
        <w:autoSpaceDN/>
        <w:spacing w:before="0" w:line="360" w:lineRule="auto"/>
        <w:jc w:val="both"/>
        <w:rPr>
          <w:sz w:val="24"/>
          <w:lang w:eastAsia="zh-CN"/>
        </w:rPr>
      </w:pPr>
      <w:r>
        <w:rPr>
          <w:rFonts w:hint="eastAsia"/>
          <w:sz w:val="24"/>
          <w:lang w:eastAsia="zh-CN"/>
        </w:rPr>
        <w:t>参选人必须具备有效的企业法人营业执照，具有在中华人民共和国注册的法人资格</w:t>
      </w:r>
      <w:r>
        <w:rPr>
          <w:sz w:val="24"/>
          <w:lang w:eastAsia="zh-CN"/>
        </w:rPr>
        <w:t>。</w:t>
      </w:r>
    </w:p>
    <w:p>
      <w:pPr>
        <w:pStyle w:val="86"/>
        <w:numPr>
          <w:ilvl w:val="0"/>
          <w:numId w:val="8"/>
        </w:numPr>
        <w:autoSpaceDE/>
        <w:autoSpaceDN/>
        <w:spacing w:before="0" w:line="360" w:lineRule="auto"/>
        <w:jc w:val="both"/>
        <w:rPr>
          <w:sz w:val="24"/>
          <w:lang w:eastAsia="zh-CN"/>
        </w:rPr>
      </w:pPr>
      <w:r>
        <w:rPr>
          <w:rFonts w:hint="eastAsia"/>
          <w:sz w:val="24"/>
          <w:lang w:eastAsia="zh-CN"/>
        </w:rPr>
        <w:t>参选人应具备电力设计乙级（或以上）资质或电力工程施工总承包三级（或以上）资质。</w:t>
      </w:r>
    </w:p>
    <w:p>
      <w:pPr>
        <w:pStyle w:val="86"/>
        <w:numPr>
          <w:ilvl w:val="0"/>
          <w:numId w:val="8"/>
        </w:numPr>
        <w:tabs>
          <w:tab w:val="left" w:pos="360"/>
          <w:tab w:val="left" w:pos="540"/>
          <w:tab w:val="left" w:pos="720"/>
        </w:tabs>
        <w:autoSpaceDE/>
        <w:autoSpaceDN/>
        <w:spacing w:before="0" w:line="360" w:lineRule="auto"/>
        <w:jc w:val="both"/>
        <w:rPr>
          <w:sz w:val="24"/>
          <w:lang w:eastAsia="zh-CN"/>
        </w:rPr>
      </w:pPr>
      <w:r>
        <w:rPr>
          <w:rFonts w:hint="eastAsia"/>
          <w:sz w:val="24"/>
          <w:lang w:eastAsia="zh-CN"/>
        </w:rPr>
        <w:t>本项目不接受联合体参选。单位负责人为同一人或者存在控股、管理关系的不同单位，不得同时参加本招标项目投标。</w:t>
      </w:r>
    </w:p>
    <w:p>
      <w:pPr>
        <w:pStyle w:val="86"/>
        <w:numPr>
          <w:ilvl w:val="0"/>
          <w:numId w:val="8"/>
        </w:numPr>
        <w:autoSpaceDE/>
        <w:autoSpaceDN/>
        <w:spacing w:before="0" w:line="360" w:lineRule="auto"/>
        <w:jc w:val="both"/>
        <w:rPr>
          <w:sz w:val="24"/>
          <w:lang w:eastAsia="zh-CN"/>
        </w:rPr>
      </w:pPr>
      <w:r>
        <w:rPr>
          <w:rFonts w:hint="eastAsia"/>
          <w:sz w:val="24"/>
          <w:lang w:eastAsia="zh-CN"/>
        </w:rPr>
        <w:t>参选人没有失信黑名单记录（以最高院失信被执行人系统发布信息为准）。</w:t>
      </w:r>
    </w:p>
    <w:p>
      <w:pPr>
        <w:pStyle w:val="86"/>
        <w:numPr>
          <w:ilvl w:val="0"/>
          <w:numId w:val="8"/>
        </w:numPr>
        <w:autoSpaceDE/>
        <w:autoSpaceDN/>
        <w:spacing w:before="0" w:line="360" w:lineRule="auto"/>
        <w:jc w:val="both"/>
        <w:rPr>
          <w:sz w:val="24"/>
          <w:lang w:eastAsia="zh-CN"/>
        </w:rPr>
      </w:pPr>
      <w:r>
        <w:rPr>
          <w:rFonts w:hint="eastAsia"/>
          <w:sz w:val="24"/>
          <w:lang w:eastAsia="zh-CN"/>
        </w:rPr>
        <w:t>参选人与比选人无诉讼纠纷。</w:t>
      </w:r>
    </w:p>
    <w:p>
      <w:pPr>
        <w:pStyle w:val="86"/>
        <w:numPr>
          <w:ilvl w:val="0"/>
          <w:numId w:val="6"/>
        </w:numPr>
        <w:autoSpaceDE/>
        <w:autoSpaceDN/>
        <w:spacing w:before="0" w:line="360" w:lineRule="auto"/>
        <w:jc w:val="both"/>
        <w:rPr>
          <w:b/>
          <w:bCs/>
          <w:szCs w:val="21"/>
        </w:rPr>
      </w:pPr>
      <w:r>
        <w:rPr>
          <w:rFonts w:hint="eastAsia"/>
          <w:b/>
          <w:bCs/>
          <w:szCs w:val="21"/>
        </w:rPr>
        <w:t>获取比选文件</w:t>
      </w:r>
    </w:p>
    <w:p>
      <w:pPr>
        <w:pStyle w:val="86"/>
        <w:numPr>
          <w:ilvl w:val="0"/>
          <w:numId w:val="9"/>
        </w:numPr>
        <w:autoSpaceDE/>
        <w:autoSpaceDN/>
        <w:spacing w:before="0" w:line="360" w:lineRule="auto"/>
        <w:jc w:val="both"/>
        <w:rPr>
          <w:bCs/>
          <w:color w:val="FF0000"/>
          <w:szCs w:val="21"/>
          <w:lang w:eastAsia="zh-CN"/>
        </w:rPr>
      </w:pPr>
      <w:r>
        <w:rPr>
          <w:rFonts w:hint="eastAsia"/>
          <w:bCs/>
          <w:color w:val="FF0000"/>
          <w:szCs w:val="21"/>
          <w:lang w:eastAsia="zh-CN"/>
        </w:rPr>
        <w:t>报名时间：自本公告公示之日起至</w:t>
      </w:r>
      <w:r>
        <w:rPr>
          <w:bCs/>
          <w:color w:val="FF0000"/>
          <w:szCs w:val="21"/>
          <w:lang w:eastAsia="zh-CN"/>
        </w:rPr>
        <w:t>2022</w:t>
      </w:r>
      <w:r>
        <w:rPr>
          <w:rFonts w:hint="eastAsia"/>
          <w:bCs/>
          <w:color w:val="FF0000"/>
          <w:szCs w:val="21"/>
          <w:lang w:eastAsia="zh-CN"/>
        </w:rPr>
        <w:t>年</w:t>
      </w:r>
      <w:r>
        <w:rPr>
          <w:bCs/>
          <w:color w:val="FF0000"/>
          <w:szCs w:val="21"/>
          <w:lang w:eastAsia="zh-CN"/>
        </w:rPr>
        <w:t>07</w:t>
      </w:r>
      <w:r>
        <w:rPr>
          <w:rFonts w:hint="eastAsia"/>
          <w:bCs/>
          <w:color w:val="FF0000"/>
          <w:szCs w:val="21"/>
          <w:lang w:eastAsia="zh-CN"/>
        </w:rPr>
        <w:t>月</w:t>
      </w:r>
      <w:r>
        <w:rPr>
          <w:rFonts w:hint="eastAsia"/>
          <w:bCs/>
          <w:color w:val="FF0000"/>
          <w:szCs w:val="21"/>
          <w:lang w:val="en-US" w:eastAsia="zh-CN"/>
        </w:rPr>
        <w:t>14</w:t>
      </w:r>
      <w:r>
        <w:rPr>
          <w:rFonts w:hint="eastAsia"/>
          <w:bCs/>
          <w:color w:val="FF0000"/>
          <w:szCs w:val="21"/>
          <w:lang w:eastAsia="zh-CN"/>
        </w:rPr>
        <w:t>日1</w:t>
      </w:r>
      <w:r>
        <w:rPr>
          <w:bCs/>
          <w:color w:val="FF0000"/>
          <w:szCs w:val="21"/>
          <w:lang w:eastAsia="zh-CN"/>
        </w:rPr>
        <w:t>7：</w:t>
      </w:r>
      <w:r>
        <w:rPr>
          <w:rFonts w:hint="eastAsia"/>
          <w:bCs/>
          <w:color w:val="FF0000"/>
          <w:szCs w:val="21"/>
          <w:lang w:eastAsia="zh-CN"/>
        </w:rPr>
        <w:t>0</w:t>
      </w:r>
      <w:r>
        <w:rPr>
          <w:bCs/>
          <w:color w:val="FF0000"/>
          <w:szCs w:val="21"/>
          <w:lang w:eastAsia="zh-CN"/>
        </w:rPr>
        <w:t>0。</w:t>
      </w:r>
      <w:r>
        <w:rPr>
          <w:rFonts w:hint="eastAsia"/>
          <w:bCs/>
          <w:color w:val="FF0000"/>
          <w:szCs w:val="21"/>
          <w:lang w:eastAsia="zh-CN"/>
        </w:rPr>
        <w:t>（上午9:00～12:00，下午1</w:t>
      </w:r>
      <w:r>
        <w:rPr>
          <w:bCs/>
          <w:color w:val="FF0000"/>
          <w:szCs w:val="21"/>
          <w:lang w:eastAsia="zh-CN"/>
        </w:rPr>
        <w:t>3</w:t>
      </w:r>
      <w:r>
        <w:rPr>
          <w:rFonts w:hint="eastAsia"/>
          <w:bCs/>
          <w:color w:val="FF0000"/>
          <w:szCs w:val="21"/>
          <w:lang w:eastAsia="zh-CN"/>
        </w:rPr>
        <w:t>:</w:t>
      </w:r>
      <w:r>
        <w:rPr>
          <w:bCs/>
          <w:color w:val="FF0000"/>
          <w:szCs w:val="21"/>
          <w:lang w:eastAsia="zh-CN"/>
        </w:rPr>
        <w:t>3</w:t>
      </w:r>
      <w:r>
        <w:rPr>
          <w:rFonts w:hint="eastAsia"/>
          <w:bCs/>
          <w:color w:val="FF0000"/>
          <w:szCs w:val="21"/>
          <w:lang w:eastAsia="zh-CN"/>
        </w:rPr>
        <w:t>0～17:</w:t>
      </w:r>
      <w:r>
        <w:rPr>
          <w:bCs/>
          <w:color w:val="FF0000"/>
          <w:szCs w:val="21"/>
          <w:lang w:eastAsia="zh-CN"/>
        </w:rPr>
        <w:t>0</w:t>
      </w:r>
      <w:r>
        <w:rPr>
          <w:rFonts w:hint="eastAsia"/>
          <w:bCs/>
          <w:color w:val="FF0000"/>
          <w:szCs w:val="21"/>
          <w:lang w:eastAsia="zh-CN"/>
        </w:rPr>
        <w:t>0，周六、日除外。</w:t>
      </w:r>
      <w:r>
        <w:rPr>
          <w:bCs/>
          <w:color w:val="FF0000"/>
          <w:szCs w:val="21"/>
          <w:lang w:eastAsia="zh-CN"/>
        </w:rPr>
        <w:t>）</w:t>
      </w:r>
    </w:p>
    <w:p>
      <w:pPr>
        <w:pStyle w:val="86"/>
        <w:numPr>
          <w:ilvl w:val="0"/>
          <w:numId w:val="9"/>
        </w:numPr>
        <w:autoSpaceDE/>
        <w:autoSpaceDN/>
        <w:spacing w:before="0" w:line="360" w:lineRule="auto"/>
        <w:jc w:val="both"/>
        <w:rPr>
          <w:bCs/>
          <w:szCs w:val="21"/>
          <w:lang w:eastAsia="zh-CN"/>
        </w:rPr>
      </w:pPr>
      <w:r>
        <w:rPr>
          <w:rFonts w:hint="eastAsia"/>
          <w:bCs/>
          <w:szCs w:val="21"/>
          <w:lang w:eastAsia="zh-CN"/>
        </w:rPr>
        <w:t>报名方式：</w:t>
      </w:r>
      <w:r>
        <w:rPr>
          <w:bCs/>
          <w:szCs w:val="21"/>
          <w:lang w:eastAsia="zh-CN"/>
        </w:rPr>
        <w:t>拟参加本项目比选的参选人需在公示报名时间期限内通过邮件形式向商务联系人进行报名并</w:t>
      </w:r>
      <w:r>
        <w:rPr>
          <w:rFonts w:hint="eastAsia"/>
          <w:bCs/>
          <w:szCs w:val="21"/>
          <w:lang w:eastAsia="zh-CN"/>
        </w:rPr>
        <w:t>下载</w:t>
      </w:r>
      <w:r>
        <w:rPr>
          <w:bCs/>
          <w:szCs w:val="21"/>
          <w:lang w:eastAsia="zh-CN"/>
        </w:rPr>
        <w:t>相关比选文件，报名邮件中需提供比选文件中</w:t>
      </w:r>
      <w:r>
        <w:rPr>
          <w:b/>
          <w:bCs/>
          <w:szCs w:val="21"/>
          <w:lang w:eastAsia="zh-CN"/>
        </w:rPr>
        <w:t>参选书和法定代表人授权书及</w:t>
      </w:r>
      <w:bookmarkStart w:id="69" w:name="_GoBack"/>
      <w:bookmarkEnd w:id="69"/>
      <w:r>
        <w:rPr>
          <w:b/>
          <w:bCs/>
          <w:szCs w:val="21"/>
          <w:lang w:eastAsia="zh-CN"/>
        </w:rPr>
        <w:t>营业执照和相关资质材料</w:t>
      </w:r>
      <w:r>
        <w:rPr>
          <w:bCs/>
          <w:szCs w:val="21"/>
          <w:lang w:eastAsia="zh-CN"/>
        </w:rPr>
        <w:t>扫描件，并</w:t>
      </w:r>
      <w:r>
        <w:rPr>
          <w:rFonts w:hint="eastAsia"/>
          <w:bCs/>
          <w:szCs w:val="21"/>
          <w:lang w:eastAsia="zh-CN"/>
        </w:rPr>
        <w:t>与</w:t>
      </w:r>
      <w:r>
        <w:rPr>
          <w:bCs/>
          <w:szCs w:val="21"/>
          <w:lang w:eastAsia="zh-CN"/>
        </w:rPr>
        <w:t>比选人技术联系人进行前期技术交流，</w:t>
      </w:r>
      <w:r>
        <w:rPr>
          <w:rFonts w:hint="eastAsia"/>
          <w:bCs/>
          <w:szCs w:val="21"/>
          <w:lang w:eastAsia="zh-CN"/>
        </w:rPr>
        <w:t>技术</w:t>
      </w:r>
      <w:r>
        <w:rPr>
          <w:bCs/>
          <w:szCs w:val="21"/>
          <w:lang w:eastAsia="zh-CN"/>
        </w:rPr>
        <w:t>交流澄清合格后方可参与后续投递比选文件参加比选。未进行报名和技术交流的参选人的参选文件将被判定为无效参选文件，不能参加比选。</w:t>
      </w:r>
    </w:p>
    <w:p>
      <w:pPr>
        <w:pStyle w:val="86"/>
        <w:numPr>
          <w:ilvl w:val="0"/>
          <w:numId w:val="6"/>
        </w:numPr>
        <w:autoSpaceDE/>
        <w:autoSpaceDN/>
        <w:spacing w:before="0" w:line="360" w:lineRule="auto"/>
        <w:jc w:val="both"/>
        <w:rPr>
          <w:b/>
          <w:bCs/>
          <w:szCs w:val="21"/>
          <w:lang w:eastAsia="zh-CN"/>
        </w:rPr>
      </w:pPr>
      <w:r>
        <w:rPr>
          <w:rFonts w:hint="eastAsia"/>
          <w:b/>
          <w:bCs/>
          <w:szCs w:val="21"/>
          <w:lang w:eastAsia="zh-CN"/>
        </w:rPr>
        <w:t>参选文件递交要求时间、地点</w:t>
      </w:r>
    </w:p>
    <w:p>
      <w:pPr>
        <w:pStyle w:val="86"/>
        <w:numPr>
          <w:ilvl w:val="0"/>
          <w:numId w:val="10"/>
        </w:numPr>
        <w:autoSpaceDE/>
        <w:autoSpaceDN/>
        <w:spacing w:before="0" w:line="360" w:lineRule="auto"/>
        <w:jc w:val="both"/>
        <w:rPr>
          <w:bCs/>
          <w:szCs w:val="21"/>
          <w:lang w:eastAsia="zh-CN"/>
        </w:rPr>
      </w:pPr>
      <w:r>
        <w:rPr>
          <w:rFonts w:hint="eastAsia"/>
          <w:bCs/>
          <w:szCs w:val="21"/>
          <w:lang w:eastAsia="zh-CN"/>
        </w:rPr>
        <w:t>参选文件递交地点：</w:t>
      </w:r>
      <w:r>
        <w:rPr>
          <w:bCs/>
          <w:szCs w:val="21"/>
          <w:lang w:eastAsia="zh-CN"/>
        </w:rPr>
        <w:t>福建省</w:t>
      </w:r>
      <w:r>
        <w:rPr>
          <w:rFonts w:hint="eastAsia"/>
          <w:bCs/>
          <w:szCs w:val="21"/>
          <w:lang w:eastAsia="zh-CN"/>
        </w:rPr>
        <w:t>漳州市漳浦县杜浔镇杜昌路9号福建福海创石油化工有限公司办公楼三</w:t>
      </w:r>
      <w:r>
        <w:rPr>
          <w:bCs/>
          <w:szCs w:val="21"/>
          <w:lang w:eastAsia="zh-CN"/>
        </w:rPr>
        <w:t>楼</w:t>
      </w:r>
      <w:r>
        <w:rPr>
          <w:rFonts w:hint="eastAsia"/>
          <w:bCs/>
          <w:szCs w:val="21"/>
          <w:lang w:eastAsia="zh-CN"/>
        </w:rPr>
        <w:t>设备</w:t>
      </w:r>
      <w:r>
        <w:rPr>
          <w:bCs/>
          <w:szCs w:val="21"/>
          <w:lang w:eastAsia="zh-CN"/>
        </w:rPr>
        <w:t>及服务团队，联系人：</w:t>
      </w:r>
      <w:r>
        <w:rPr>
          <w:rFonts w:hint="eastAsia"/>
          <w:bCs/>
          <w:szCs w:val="21"/>
          <w:lang w:eastAsia="zh-CN"/>
        </w:rPr>
        <w:t xml:space="preserve">陈惠国  </w:t>
      </w:r>
      <w:r>
        <w:rPr>
          <w:bCs/>
          <w:szCs w:val="21"/>
          <w:lang w:eastAsia="zh-CN"/>
        </w:rPr>
        <w:t xml:space="preserve"> 联系电话：15860628004。</w:t>
      </w:r>
    </w:p>
    <w:p>
      <w:pPr>
        <w:pStyle w:val="25"/>
        <w:spacing w:line="360" w:lineRule="auto"/>
        <w:ind w:left="1192" w:right="121"/>
        <w:jc w:val="both"/>
        <w:rPr>
          <w:b/>
          <w:bCs/>
          <w:sz w:val="22"/>
          <w:szCs w:val="21"/>
          <w:lang w:eastAsia="zh-CN"/>
        </w:rPr>
      </w:pPr>
      <w:r>
        <w:rPr>
          <w:b/>
          <w:bCs/>
          <w:sz w:val="22"/>
          <w:szCs w:val="21"/>
          <w:lang w:eastAsia="zh-CN"/>
        </w:rPr>
        <w:t>备注：请使用顺丰快递或中国邮政 EMS 快递，其他快递不能保证送达目的地。</w:t>
      </w:r>
    </w:p>
    <w:p>
      <w:pPr>
        <w:pStyle w:val="86"/>
        <w:autoSpaceDE/>
        <w:autoSpaceDN/>
        <w:spacing w:before="0" w:line="360" w:lineRule="auto"/>
        <w:ind w:left="1192" w:firstLine="0"/>
        <w:jc w:val="both"/>
        <w:rPr>
          <w:b/>
          <w:bCs/>
          <w:szCs w:val="21"/>
          <w:lang w:eastAsia="zh-CN"/>
        </w:rPr>
      </w:pPr>
      <w:r>
        <w:rPr>
          <w:rFonts w:hint="eastAsia"/>
          <w:b/>
          <w:bCs/>
          <w:szCs w:val="21"/>
          <w:lang w:eastAsia="zh-CN"/>
        </w:rPr>
        <w:t>寄送快递时，请在快递件上面备注清楚寄件人公司名称及相应标书项目名称！</w:t>
      </w:r>
    </w:p>
    <w:p>
      <w:pPr>
        <w:pStyle w:val="86"/>
        <w:numPr>
          <w:ilvl w:val="0"/>
          <w:numId w:val="10"/>
        </w:numPr>
        <w:autoSpaceDE/>
        <w:autoSpaceDN/>
        <w:spacing w:before="0" w:line="360" w:lineRule="auto"/>
        <w:jc w:val="both"/>
        <w:rPr>
          <w:bCs/>
          <w:szCs w:val="21"/>
          <w:lang w:eastAsia="zh-CN"/>
        </w:rPr>
      </w:pPr>
      <w:r>
        <w:rPr>
          <w:rFonts w:hint="eastAsia"/>
          <w:bCs/>
          <w:szCs w:val="21"/>
          <w:lang w:eastAsia="zh-CN"/>
        </w:rPr>
        <w:t>递交截止时间：</w:t>
      </w:r>
      <w:r>
        <w:rPr>
          <w:bCs/>
          <w:szCs w:val="21"/>
          <w:lang w:eastAsia="zh-CN"/>
        </w:rPr>
        <w:t>参选人需于指定报名时间段内</w:t>
      </w:r>
      <w:r>
        <w:rPr>
          <w:rFonts w:hint="eastAsia"/>
          <w:bCs/>
          <w:szCs w:val="21"/>
          <w:lang w:eastAsia="zh-CN"/>
        </w:rPr>
        <w:t>进行报名并</w:t>
      </w:r>
      <w:r>
        <w:rPr>
          <w:bCs/>
          <w:szCs w:val="21"/>
          <w:lang w:eastAsia="zh-CN"/>
        </w:rPr>
        <w:t>在截标时间前完成</w:t>
      </w:r>
      <w:r>
        <w:rPr>
          <w:rFonts w:hint="eastAsia"/>
          <w:bCs/>
          <w:szCs w:val="21"/>
          <w:lang w:eastAsia="zh-CN"/>
        </w:rPr>
        <w:t>技术交流确认技术合格后，</w:t>
      </w:r>
      <w:r>
        <w:rPr>
          <w:rFonts w:hint="eastAsia"/>
          <w:bCs/>
          <w:color w:val="FF0000"/>
          <w:szCs w:val="21"/>
          <w:lang w:eastAsia="zh-CN"/>
        </w:rPr>
        <w:t>于</w:t>
      </w:r>
      <w:r>
        <w:rPr>
          <w:bCs/>
          <w:color w:val="FF0000"/>
          <w:szCs w:val="21"/>
          <w:lang w:eastAsia="zh-CN"/>
        </w:rPr>
        <w:t>2022</w:t>
      </w:r>
      <w:r>
        <w:rPr>
          <w:rFonts w:hint="eastAsia"/>
          <w:bCs/>
          <w:color w:val="FF0000"/>
          <w:szCs w:val="21"/>
          <w:lang w:eastAsia="zh-CN"/>
        </w:rPr>
        <w:t>年</w:t>
      </w:r>
      <w:r>
        <w:rPr>
          <w:bCs/>
          <w:color w:val="FF0000"/>
          <w:szCs w:val="21"/>
          <w:lang w:eastAsia="zh-CN"/>
        </w:rPr>
        <w:t>07</w:t>
      </w:r>
      <w:r>
        <w:rPr>
          <w:rFonts w:hint="eastAsia"/>
          <w:bCs/>
          <w:color w:val="FF0000"/>
          <w:szCs w:val="21"/>
          <w:lang w:eastAsia="zh-CN"/>
        </w:rPr>
        <w:t>月</w:t>
      </w:r>
      <w:r>
        <w:rPr>
          <w:rFonts w:hint="eastAsia"/>
          <w:bCs/>
          <w:color w:val="FF0000"/>
          <w:szCs w:val="21"/>
          <w:lang w:val="en-US" w:eastAsia="zh-CN"/>
        </w:rPr>
        <w:t>18</w:t>
      </w:r>
      <w:r>
        <w:rPr>
          <w:rFonts w:hint="eastAsia"/>
          <w:bCs/>
          <w:color w:val="FF0000"/>
          <w:szCs w:val="21"/>
          <w:lang w:eastAsia="zh-CN"/>
        </w:rPr>
        <w:t>日</w:t>
      </w:r>
      <w:r>
        <w:rPr>
          <w:bCs/>
          <w:color w:val="FF0000"/>
          <w:szCs w:val="21"/>
          <w:lang w:eastAsia="zh-CN"/>
        </w:rPr>
        <w:t xml:space="preserve">14 </w:t>
      </w:r>
      <w:r>
        <w:rPr>
          <w:rFonts w:hint="eastAsia"/>
          <w:bCs/>
          <w:color w:val="FF0000"/>
          <w:szCs w:val="21"/>
          <w:lang w:eastAsia="zh-CN"/>
        </w:rPr>
        <w:t>：00（上午9:00～12:00，下午1</w:t>
      </w:r>
      <w:r>
        <w:rPr>
          <w:bCs/>
          <w:color w:val="FF0000"/>
          <w:szCs w:val="21"/>
          <w:lang w:eastAsia="zh-CN"/>
        </w:rPr>
        <w:t>3</w:t>
      </w:r>
      <w:r>
        <w:rPr>
          <w:rFonts w:hint="eastAsia"/>
          <w:bCs/>
          <w:color w:val="FF0000"/>
          <w:szCs w:val="21"/>
          <w:lang w:eastAsia="zh-CN"/>
        </w:rPr>
        <w:t>:</w:t>
      </w:r>
      <w:r>
        <w:rPr>
          <w:bCs/>
          <w:color w:val="FF0000"/>
          <w:szCs w:val="21"/>
          <w:lang w:eastAsia="zh-CN"/>
        </w:rPr>
        <w:t>3</w:t>
      </w:r>
      <w:r>
        <w:rPr>
          <w:rFonts w:hint="eastAsia"/>
          <w:bCs/>
          <w:color w:val="FF0000"/>
          <w:szCs w:val="21"/>
          <w:lang w:eastAsia="zh-CN"/>
        </w:rPr>
        <w:t>0～17:</w:t>
      </w:r>
      <w:r>
        <w:rPr>
          <w:bCs/>
          <w:color w:val="FF0000"/>
          <w:szCs w:val="21"/>
          <w:lang w:eastAsia="zh-CN"/>
        </w:rPr>
        <w:t>0</w:t>
      </w:r>
      <w:r>
        <w:rPr>
          <w:rFonts w:hint="eastAsia"/>
          <w:bCs/>
          <w:color w:val="FF0000"/>
          <w:szCs w:val="21"/>
          <w:lang w:eastAsia="zh-CN"/>
        </w:rPr>
        <w:t>0，周六、日除外。</w:t>
      </w:r>
      <w:r>
        <w:rPr>
          <w:bCs/>
          <w:color w:val="FF0000"/>
          <w:szCs w:val="21"/>
          <w:lang w:eastAsia="zh-CN"/>
        </w:rPr>
        <w:t>）</w:t>
      </w:r>
      <w:r>
        <w:rPr>
          <w:rFonts w:hint="eastAsia"/>
          <w:bCs/>
          <w:szCs w:val="21"/>
          <w:lang w:eastAsia="zh-CN"/>
        </w:rPr>
        <w:t>之前将参选文件纸质原件密封送达比选人指定地点。</w:t>
      </w:r>
    </w:p>
    <w:p>
      <w:pPr>
        <w:pStyle w:val="86"/>
        <w:numPr>
          <w:ilvl w:val="0"/>
          <w:numId w:val="6"/>
        </w:numPr>
        <w:autoSpaceDE/>
        <w:autoSpaceDN/>
        <w:spacing w:before="0" w:line="360" w:lineRule="auto"/>
        <w:jc w:val="both"/>
        <w:rPr>
          <w:b/>
          <w:bCs/>
          <w:szCs w:val="21"/>
        </w:rPr>
      </w:pPr>
      <w:r>
        <w:rPr>
          <w:rFonts w:hint="eastAsia"/>
          <w:b/>
          <w:bCs/>
          <w:szCs w:val="21"/>
        </w:rPr>
        <w:t>联系方式</w:t>
      </w:r>
    </w:p>
    <w:p>
      <w:pPr>
        <w:pStyle w:val="10"/>
        <w:snapToGrid w:val="0"/>
        <w:spacing w:line="360" w:lineRule="auto"/>
        <w:ind w:left="412" w:firstLine="480" w:firstLineChars="200"/>
        <w:rPr>
          <w:rFonts w:ascii="宋体" w:hAnsi="宋体" w:cs="宋体"/>
          <w:b/>
          <w:bCs/>
          <w:szCs w:val="21"/>
        </w:rPr>
      </w:pPr>
      <w:r>
        <w:rPr>
          <w:rFonts w:hint="eastAsia" w:ascii="宋体" w:hAnsi="宋体" w:cs="宋体"/>
          <w:bCs/>
          <w:szCs w:val="21"/>
        </w:rPr>
        <w:t>商务联系人：陈惠国 电话：</w:t>
      </w:r>
      <w:r>
        <w:t>15860628004</w:t>
      </w:r>
      <w:r>
        <w:rPr>
          <w:rFonts w:hint="eastAsia" w:ascii="宋体" w:hAnsi="宋体" w:cs="宋体"/>
          <w:bCs/>
          <w:szCs w:val="21"/>
        </w:rPr>
        <w:t xml:space="preserve">  邮箱：</w:t>
      </w:r>
      <w:r>
        <w:fldChar w:fldCharType="begin"/>
      </w:r>
      <w:r>
        <w:instrText xml:space="preserve"> HYPERLINK "mailto:hgchen@fhcpec.com.cn" </w:instrText>
      </w:r>
      <w:r>
        <w:fldChar w:fldCharType="separate"/>
      </w:r>
      <w:r>
        <w:rPr>
          <w:rStyle w:val="69"/>
          <w:color w:val="auto"/>
        </w:rPr>
        <w:t>hgchen@fhcpec.com.cn</w:t>
      </w:r>
      <w:r>
        <w:rPr>
          <w:rStyle w:val="69"/>
          <w:color w:val="auto"/>
        </w:rPr>
        <w:fldChar w:fldCharType="end"/>
      </w:r>
    </w:p>
    <w:p>
      <w:pPr>
        <w:pStyle w:val="10"/>
        <w:snapToGrid w:val="0"/>
        <w:spacing w:line="360" w:lineRule="auto"/>
        <w:ind w:left="412" w:firstLine="480" w:firstLineChars="200"/>
        <w:rPr>
          <w:rFonts w:ascii="宋体" w:hAnsi="宋体" w:cs="宋体"/>
          <w:b/>
          <w:bCs/>
          <w:szCs w:val="21"/>
        </w:rPr>
      </w:pPr>
      <w:r>
        <w:rPr>
          <w:rFonts w:hint="eastAsia" w:ascii="宋体" w:hAnsi="宋体" w:cs="宋体"/>
          <w:bCs/>
          <w:szCs w:val="21"/>
        </w:rPr>
        <w:t xml:space="preserve">纪检监察室电话：0596-6311774  </w:t>
      </w:r>
    </w:p>
    <w:p>
      <w:pPr>
        <w:pStyle w:val="10"/>
        <w:snapToGrid w:val="0"/>
        <w:spacing w:line="360" w:lineRule="auto"/>
        <w:ind w:left="412" w:firstLine="480" w:firstLineChars="200"/>
        <w:rPr>
          <w:rFonts w:ascii="宋体" w:hAnsi="宋体" w:cs="宋体"/>
          <w:b/>
          <w:bCs/>
          <w:szCs w:val="21"/>
        </w:rPr>
      </w:pPr>
      <w:r>
        <w:rPr>
          <w:rFonts w:hint="eastAsia" w:ascii="宋体" w:hAnsi="宋体" w:cs="宋体"/>
          <w:bCs/>
          <w:szCs w:val="21"/>
        </w:rPr>
        <w:t>联系地址：漳州市漳浦县杜浔镇杜昌路9号。</w:t>
      </w:r>
    </w:p>
    <w:p>
      <w:pPr>
        <w:pStyle w:val="10"/>
        <w:snapToGrid w:val="0"/>
        <w:spacing w:line="360" w:lineRule="auto"/>
        <w:ind w:left="412" w:firstLine="480" w:firstLineChars="200"/>
        <w:rPr>
          <w:rFonts w:ascii="宋体" w:hAnsi="宋体" w:cs="宋体"/>
          <w:bCs/>
          <w:szCs w:val="21"/>
        </w:rPr>
      </w:pPr>
      <w:r>
        <w:rPr>
          <w:rFonts w:hint="eastAsia" w:ascii="宋体" w:hAnsi="宋体" w:cs="宋体"/>
          <w:bCs/>
          <w:szCs w:val="21"/>
        </w:rPr>
        <w:t>邮    编：363216</w:t>
      </w:r>
    </w:p>
    <w:p>
      <w:pPr>
        <w:spacing w:line="360" w:lineRule="auto"/>
        <w:ind w:firstLine="480" w:firstLineChars="200"/>
        <w:jc w:val="right"/>
        <w:rPr>
          <w:sz w:val="24"/>
          <w:szCs w:val="24"/>
          <w:lang w:eastAsia="zh-CN"/>
        </w:rPr>
      </w:pPr>
      <w:r>
        <w:rPr>
          <w:rFonts w:hint="eastAsia"/>
          <w:sz w:val="24"/>
          <w:szCs w:val="24"/>
          <w:lang w:eastAsia="zh-CN"/>
        </w:rPr>
        <w:t xml:space="preserve">福建福海创石油化工有限公司 </w:t>
      </w:r>
    </w:p>
    <w:p>
      <w:pPr>
        <w:spacing w:line="360" w:lineRule="auto"/>
        <w:ind w:firstLine="480" w:firstLineChars="200"/>
        <w:jc w:val="right"/>
        <w:rPr>
          <w:b/>
          <w:bCs/>
          <w:sz w:val="24"/>
          <w:szCs w:val="24"/>
          <w:lang w:eastAsia="zh-CN"/>
        </w:rPr>
      </w:pPr>
      <w:r>
        <w:rPr>
          <w:rFonts w:hint="eastAsia"/>
          <w:sz w:val="24"/>
          <w:szCs w:val="24"/>
          <w:lang w:eastAsia="zh-CN"/>
        </w:rPr>
        <w:t xml:space="preserve">                                                  </w:t>
      </w:r>
      <w:r>
        <w:rPr>
          <w:sz w:val="24"/>
          <w:szCs w:val="24"/>
          <w:lang w:eastAsia="zh-CN"/>
        </w:rPr>
        <w:t>2022</w:t>
      </w:r>
      <w:r>
        <w:rPr>
          <w:rFonts w:hint="eastAsia"/>
          <w:sz w:val="24"/>
          <w:szCs w:val="24"/>
          <w:lang w:eastAsia="zh-CN"/>
        </w:rPr>
        <w:t>年</w:t>
      </w:r>
      <w:r>
        <w:rPr>
          <w:sz w:val="24"/>
          <w:szCs w:val="24"/>
          <w:lang w:eastAsia="zh-CN"/>
        </w:rPr>
        <w:t>0</w:t>
      </w:r>
      <w:r>
        <w:rPr>
          <w:rFonts w:hint="eastAsia"/>
          <w:sz w:val="24"/>
          <w:szCs w:val="24"/>
          <w:lang w:val="en-US" w:eastAsia="zh-CN"/>
        </w:rPr>
        <w:t>7</w:t>
      </w:r>
      <w:r>
        <w:rPr>
          <w:rFonts w:hint="eastAsia"/>
          <w:sz w:val="24"/>
          <w:szCs w:val="24"/>
          <w:lang w:eastAsia="zh-CN"/>
        </w:rPr>
        <w:t>月</w:t>
      </w:r>
      <w:r>
        <w:rPr>
          <w:rFonts w:hint="eastAsia"/>
          <w:sz w:val="24"/>
          <w:szCs w:val="24"/>
          <w:lang w:val="en-US" w:eastAsia="zh-CN"/>
        </w:rPr>
        <w:t>08</w:t>
      </w:r>
      <w:r>
        <w:rPr>
          <w:rFonts w:hint="eastAsia"/>
          <w:sz w:val="24"/>
          <w:szCs w:val="24"/>
          <w:lang w:eastAsia="zh-CN"/>
        </w:rPr>
        <w:t>日</w:t>
      </w:r>
      <w:r>
        <w:rPr>
          <w:sz w:val="24"/>
          <w:szCs w:val="24"/>
          <w:lang w:eastAsia="zh-CN"/>
        </w:rPr>
        <w:br w:type="page"/>
      </w:r>
    </w:p>
    <w:p>
      <w:pPr>
        <w:pStyle w:val="3"/>
        <w:tabs>
          <w:tab w:val="left" w:pos="1262"/>
        </w:tabs>
        <w:spacing w:line="355" w:lineRule="exact"/>
        <w:ind w:left="0" w:right="108"/>
        <w:jc w:val="center"/>
        <w:rPr>
          <w:lang w:eastAsia="zh-CN"/>
        </w:rPr>
      </w:pPr>
      <w:r>
        <w:rPr>
          <w:lang w:eastAsia="zh-CN"/>
        </w:rPr>
        <w:t>第二章</w:t>
      </w:r>
      <w:r>
        <w:rPr>
          <w:lang w:eastAsia="zh-CN"/>
        </w:rPr>
        <w:tab/>
      </w:r>
      <w:r>
        <w:rPr>
          <w:spacing w:val="-1"/>
          <w:w w:val="95"/>
          <w:lang w:eastAsia="zh-CN"/>
        </w:rPr>
        <w:t>比选须</w:t>
      </w:r>
      <w:r>
        <w:rPr>
          <w:w w:val="95"/>
          <w:lang w:eastAsia="zh-CN"/>
        </w:rPr>
        <w:t>知</w:t>
      </w:r>
    </w:p>
    <w:p>
      <w:pPr>
        <w:spacing w:before="15" w:line="360" w:lineRule="auto"/>
        <w:rPr>
          <w:b/>
          <w:sz w:val="28"/>
          <w:lang w:eastAsia="zh-CN"/>
        </w:rPr>
      </w:pPr>
      <w:r>
        <w:rPr>
          <w:rFonts w:hint="eastAsia"/>
          <w:b/>
          <w:w w:val="95"/>
          <w:sz w:val="28"/>
          <w:lang w:eastAsia="zh-CN"/>
        </w:rPr>
        <w:t xml:space="preserve">    </w:t>
      </w:r>
      <w:r>
        <w:rPr>
          <w:b/>
          <w:w w:val="95"/>
          <w:sz w:val="28"/>
          <w:lang w:eastAsia="zh-CN"/>
        </w:rPr>
        <w:t>一、比选内容</w:t>
      </w:r>
    </w:p>
    <w:p>
      <w:pPr>
        <w:pStyle w:val="25"/>
        <w:spacing w:line="360" w:lineRule="auto"/>
        <w:ind w:right="121"/>
        <w:jc w:val="both"/>
        <w:rPr>
          <w:lang w:eastAsia="zh-CN"/>
        </w:rPr>
      </w:pPr>
      <w:r>
        <w:rPr>
          <w:rFonts w:hint="eastAsia"/>
          <w:lang w:eastAsia="zh-CN"/>
        </w:rPr>
        <w:t xml:space="preserve">    1.项目</w:t>
      </w:r>
      <w:r>
        <w:rPr>
          <w:lang w:eastAsia="zh-CN"/>
        </w:rPr>
        <w:t>名称：</w:t>
      </w:r>
      <w:r>
        <w:rPr>
          <w:rFonts w:hint="eastAsia"/>
          <w:lang w:eastAsia="zh-CN"/>
        </w:rPr>
        <w:t>锅炉火检风源管改造发包项目。</w:t>
      </w:r>
    </w:p>
    <w:p>
      <w:pPr>
        <w:pStyle w:val="25"/>
        <w:spacing w:line="360" w:lineRule="auto"/>
        <w:ind w:right="121"/>
        <w:jc w:val="both"/>
        <w:rPr>
          <w:lang w:eastAsia="zh-CN"/>
        </w:rPr>
      </w:pPr>
      <w:r>
        <w:rPr>
          <w:rFonts w:hint="eastAsia"/>
          <w:lang w:eastAsia="zh-CN"/>
        </w:rPr>
        <w:t xml:space="preserve">    2.项目</w:t>
      </w:r>
      <w:r>
        <w:rPr>
          <w:lang w:eastAsia="zh-CN"/>
        </w:rPr>
        <w:t>地点：</w:t>
      </w:r>
      <w:r>
        <w:rPr>
          <w:rFonts w:hint="eastAsia" w:asciiTheme="minorEastAsia" w:hAnsiTheme="minorEastAsia" w:eastAsiaTheme="minorEastAsia"/>
          <w:lang w:eastAsia="zh-CN"/>
        </w:rPr>
        <w:t>福建省漳州市古雷开发区腾龙路84号路福海创石油化工有限公司</w:t>
      </w:r>
      <w:r>
        <w:rPr>
          <w:lang w:eastAsia="zh-CN"/>
        </w:rPr>
        <w:t>。</w:t>
      </w:r>
    </w:p>
    <w:p>
      <w:pPr>
        <w:pStyle w:val="25"/>
        <w:spacing w:line="360" w:lineRule="auto"/>
        <w:ind w:right="121"/>
        <w:jc w:val="both"/>
        <w:rPr>
          <w:lang w:eastAsia="zh-CN"/>
        </w:rPr>
      </w:pPr>
      <w:r>
        <w:rPr>
          <w:rFonts w:hint="eastAsia"/>
          <w:lang w:eastAsia="zh-CN"/>
        </w:rPr>
        <w:t xml:space="preserve">    3.</w:t>
      </w:r>
      <w:r>
        <w:rPr>
          <w:lang w:eastAsia="zh-CN"/>
        </w:rPr>
        <w:t>发</w:t>
      </w:r>
      <w:r>
        <w:rPr>
          <w:rFonts w:hint="eastAsia"/>
          <w:lang w:eastAsia="zh-CN"/>
        </w:rPr>
        <w:t>包方式：</w:t>
      </w:r>
      <w:r>
        <w:rPr>
          <w:lang w:eastAsia="zh-CN"/>
        </w:rPr>
        <w:t>本</w:t>
      </w:r>
      <w:r>
        <w:rPr>
          <w:rFonts w:hint="eastAsia"/>
          <w:lang w:eastAsia="zh-CN"/>
        </w:rPr>
        <w:t>工程以含税包干总价形式发包。</w:t>
      </w:r>
    </w:p>
    <w:p>
      <w:pPr>
        <w:pStyle w:val="25"/>
        <w:spacing w:line="360" w:lineRule="auto"/>
        <w:ind w:right="121" w:firstLine="480"/>
        <w:jc w:val="both"/>
        <w:rPr>
          <w:lang w:eastAsia="zh-CN"/>
        </w:rPr>
      </w:pPr>
      <w:r>
        <w:rPr>
          <w:rFonts w:hint="eastAsia"/>
          <w:lang w:eastAsia="zh-CN"/>
        </w:rPr>
        <w:t>4.项目工作范围及技术要求：</w:t>
      </w:r>
    </w:p>
    <w:p>
      <w:pPr>
        <w:pStyle w:val="25"/>
        <w:spacing w:line="360" w:lineRule="auto"/>
        <w:ind w:right="121" w:firstLine="480"/>
        <w:jc w:val="both"/>
        <w:rPr>
          <w:lang w:eastAsia="zh-CN"/>
        </w:rPr>
      </w:pPr>
      <w:r>
        <w:rPr>
          <w:rFonts w:hint="eastAsia"/>
          <w:bCs/>
          <w:szCs w:val="21"/>
          <w:lang w:eastAsia="zh-CN"/>
        </w:rPr>
        <w:t>具体内容和要求详见比选文件合同格式书附件一《</w:t>
      </w:r>
      <w:r>
        <w:rPr>
          <w:rFonts w:hint="eastAsia"/>
          <w:bCs/>
          <w:sz w:val="22"/>
          <w:szCs w:val="21"/>
          <w:lang w:eastAsia="zh-CN"/>
        </w:rPr>
        <w:t>腾龙芳烃（漳州）有限公司热电厂锅炉火检风源管改造技术规范书</w:t>
      </w:r>
      <w:r>
        <w:rPr>
          <w:rFonts w:hint="eastAsia"/>
          <w:bCs/>
          <w:szCs w:val="21"/>
          <w:lang w:eastAsia="zh-CN"/>
        </w:rPr>
        <w:t>》。</w:t>
      </w:r>
      <w:r>
        <w:rPr>
          <w:rFonts w:hint="eastAsia"/>
          <w:lang w:eastAsia="zh-CN"/>
        </w:rPr>
        <w:t>。</w:t>
      </w:r>
    </w:p>
    <w:p>
      <w:pPr>
        <w:pStyle w:val="25"/>
        <w:spacing w:line="360" w:lineRule="auto"/>
        <w:ind w:right="121"/>
        <w:jc w:val="both"/>
        <w:rPr>
          <w:lang w:eastAsia="zh-CN"/>
        </w:rPr>
      </w:pPr>
      <w:r>
        <w:rPr>
          <w:rFonts w:hint="eastAsia"/>
          <w:lang w:eastAsia="zh-CN"/>
        </w:rPr>
        <w:t xml:space="preserve">    5.项目联系人</w:t>
      </w:r>
    </w:p>
    <w:p>
      <w:pPr>
        <w:pStyle w:val="25"/>
        <w:spacing w:line="360" w:lineRule="auto"/>
        <w:ind w:right="121"/>
        <w:jc w:val="both"/>
        <w:rPr>
          <w:lang w:eastAsia="zh-CN"/>
        </w:rPr>
      </w:pPr>
      <w:r>
        <w:rPr>
          <w:rFonts w:hint="eastAsia"/>
          <w:lang w:eastAsia="zh-CN"/>
        </w:rPr>
        <w:t xml:space="preserve">    </w:t>
      </w:r>
      <w:r>
        <w:rPr>
          <w:lang w:eastAsia="zh-CN"/>
        </w:rPr>
        <w:t xml:space="preserve">  </w:t>
      </w:r>
      <w:r>
        <w:rPr>
          <w:rFonts w:hint="eastAsia"/>
          <w:lang w:eastAsia="zh-CN"/>
        </w:rPr>
        <w:t>技术联系人：张晓平</w:t>
      </w:r>
      <w:r>
        <w:rPr>
          <w:lang w:eastAsia="zh-CN"/>
        </w:rPr>
        <w:t>，18760658760，xpzhang1@fhcpec.com.cn   </w:t>
      </w:r>
    </w:p>
    <w:p>
      <w:pPr>
        <w:pStyle w:val="25"/>
        <w:spacing w:line="360" w:lineRule="auto"/>
        <w:ind w:right="121"/>
        <w:jc w:val="both"/>
        <w:rPr>
          <w:lang w:eastAsia="zh-CN"/>
        </w:rPr>
      </w:pPr>
      <w:r>
        <w:rPr>
          <w:rFonts w:hint="eastAsia"/>
          <w:lang w:eastAsia="zh-CN"/>
        </w:rPr>
        <w:t xml:space="preserve">    </w:t>
      </w:r>
      <w:r>
        <w:rPr>
          <w:lang w:eastAsia="zh-CN"/>
        </w:rPr>
        <w:t xml:space="preserve">  </w:t>
      </w:r>
      <w:r>
        <w:rPr>
          <w:rFonts w:hint="eastAsia"/>
          <w:lang w:eastAsia="zh-CN"/>
        </w:rPr>
        <w:t>商务联系人：陈惠国，</w:t>
      </w:r>
      <w:r>
        <w:rPr>
          <w:lang w:eastAsia="zh-CN"/>
        </w:rPr>
        <w:t>15860628004，</w:t>
      </w:r>
      <w:r>
        <w:fldChar w:fldCharType="begin"/>
      </w:r>
      <w:r>
        <w:instrText xml:space="preserve"> HYPERLINK "mailto:hgchen@fhcpec.com.cn" </w:instrText>
      </w:r>
      <w:r>
        <w:fldChar w:fldCharType="separate"/>
      </w:r>
      <w:r>
        <w:rPr>
          <w:lang w:eastAsia="zh-CN"/>
        </w:rPr>
        <w:t>hgchen@fhcpec.com.cn</w:t>
      </w:r>
      <w:r>
        <w:rPr>
          <w:lang w:eastAsia="zh-CN"/>
        </w:rPr>
        <w:fldChar w:fldCharType="end"/>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二、定义和解释</w:t>
      </w:r>
    </w:p>
    <w:p>
      <w:pPr>
        <w:pStyle w:val="25"/>
        <w:spacing w:line="360" w:lineRule="auto"/>
        <w:ind w:right="121"/>
        <w:jc w:val="both"/>
        <w:rPr>
          <w:lang w:eastAsia="zh-CN"/>
        </w:rPr>
      </w:pPr>
      <w:r>
        <w:rPr>
          <w:rFonts w:hint="eastAsia"/>
          <w:lang w:eastAsia="zh-CN"/>
        </w:rPr>
        <w:t xml:space="preserve">    </w:t>
      </w:r>
      <w:r>
        <w:rPr>
          <w:lang w:eastAsia="zh-CN"/>
        </w:rPr>
        <w:t>1.“比选人”系福建福海创石油化工有限公司，即业主方。</w:t>
      </w:r>
    </w:p>
    <w:p>
      <w:pPr>
        <w:pStyle w:val="25"/>
        <w:spacing w:line="360" w:lineRule="auto"/>
        <w:ind w:right="121"/>
        <w:jc w:val="both"/>
        <w:rPr>
          <w:lang w:eastAsia="zh-CN"/>
        </w:rPr>
      </w:pPr>
      <w:r>
        <w:rPr>
          <w:rFonts w:hint="eastAsia"/>
          <w:lang w:eastAsia="zh-CN"/>
        </w:rPr>
        <w:t xml:space="preserve">    </w:t>
      </w:r>
      <w:r>
        <w:rPr>
          <w:lang w:eastAsia="zh-CN"/>
        </w:rPr>
        <w:t>2.“参选人”系指向比选人报名并接受邀请，领取比选文件，且已经提交或准备提交本次参选文件的法人。</w:t>
      </w:r>
    </w:p>
    <w:p>
      <w:pPr>
        <w:pStyle w:val="25"/>
        <w:spacing w:line="360" w:lineRule="auto"/>
        <w:ind w:right="121"/>
        <w:jc w:val="both"/>
        <w:rPr>
          <w:lang w:eastAsia="zh-CN"/>
        </w:rPr>
      </w:pPr>
      <w:r>
        <w:rPr>
          <w:rFonts w:hint="eastAsia"/>
          <w:lang w:eastAsia="zh-CN"/>
        </w:rPr>
        <w:t xml:space="preserve">    </w:t>
      </w:r>
      <w:r>
        <w:rPr>
          <w:lang w:eastAsia="zh-CN"/>
        </w:rPr>
        <w:t>3.“参选人代表”系指全权代表参选人参加本次比选活动并签署参选文件的人，如果参选人代表不是参选人的法定代表人，须持有《法定代表人授权委托书》详见附件。</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三、比选文件组成</w:t>
      </w:r>
    </w:p>
    <w:p>
      <w:pPr>
        <w:pStyle w:val="25"/>
        <w:spacing w:line="360" w:lineRule="auto"/>
        <w:ind w:right="121"/>
        <w:jc w:val="both"/>
        <w:rPr>
          <w:lang w:eastAsia="zh-CN"/>
        </w:rPr>
      </w:pPr>
      <w:r>
        <w:rPr>
          <w:rFonts w:hint="eastAsia"/>
          <w:lang w:eastAsia="zh-CN"/>
        </w:rPr>
        <w:t xml:space="preserve">    </w:t>
      </w:r>
      <w:r>
        <w:rPr>
          <w:lang w:eastAsia="zh-CN"/>
        </w:rPr>
        <w:t>1.比选文件包括下列内容：比选公告、比选须知、项目内容、合同书格式、报价单、承诺函等。</w:t>
      </w:r>
    </w:p>
    <w:p>
      <w:pPr>
        <w:pStyle w:val="25"/>
        <w:spacing w:line="360" w:lineRule="auto"/>
        <w:ind w:right="121"/>
        <w:jc w:val="both"/>
        <w:rPr>
          <w:lang w:eastAsia="zh-CN"/>
        </w:rPr>
      </w:pPr>
      <w:r>
        <w:rPr>
          <w:rFonts w:hint="eastAsia"/>
          <w:lang w:eastAsia="zh-CN"/>
        </w:rPr>
        <w:t xml:space="preserve">    </w:t>
      </w:r>
      <w:r>
        <w:rPr>
          <w:lang w:eastAsia="zh-CN"/>
        </w:rPr>
        <w:t>2.比选文件除 1 中内容外，比选人在比选期间发出的书面文件和其他修改或补充函件，均是比选文件不可分割的组成部分。</w:t>
      </w:r>
    </w:p>
    <w:p>
      <w:pPr>
        <w:pStyle w:val="25"/>
        <w:spacing w:line="360" w:lineRule="auto"/>
        <w:ind w:right="121"/>
        <w:jc w:val="both"/>
        <w:rPr>
          <w:lang w:eastAsia="zh-CN"/>
        </w:rPr>
      </w:pPr>
      <w:r>
        <w:rPr>
          <w:rFonts w:hint="eastAsia"/>
          <w:lang w:eastAsia="zh-CN"/>
        </w:rPr>
        <w:t xml:space="preserve">    </w:t>
      </w:r>
      <w:r>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四、比选文件的澄清</w:t>
      </w:r>
    </w:p>
    <w:p>
      <w:pPr>
        <w:pStyle w:val="25"/>
        <w:spacing w:line="360" w:lineRule="auto"/>
        <w:ind w:right="121"/>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 3 日内向比选人提出。参选人若对比选文件有任何疑问，应在参选截止时间前 5 日，按参选须知载明的地址以书面形式（包括书面、传真、电子邮件下同）通知到比选人。比选人将视情况确定采用适当方式予以澄清或以书面形式予以答复，澄清文件作为比选文件的组成部分，具有约束作用。</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五、比选文件的修改、补充</w:t>
      </w:r>
    </w:p>
    <w:p>
      <w:pPr>
        <w:pStyle w:val="25"/>
        <w:spacing w:line="360" w:lineRule="auto"/>
        <w:ind w:right="121"/>
        <w:jc w:val="both"/>
        <w:rPr>
          <w:lang w:eastAsia="zh-CN"/>
        </w:rPr>
      </w:pPr>
      <w:r>
        <w:rPr>
          <w:rFonts w:hint="eastAsia"/>
          <w:lang w:eastAsia="zh-CN"/>
        </w:rPr>
        <w:t xml:space="preserve">    </w:t>
      </w:r>
      <w:r>
        <w:rPr>
          <w:lang w:eastAsia="zh-CN"/>
        </w:rPr>
        <w:t>1.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pPr>
        <w:pStyle w:val="25"/>
        <w:spacing w:line="360" w:lineRule="auto"/>
        <w:ind w:right="121"/>
        <w:jc w:val="both"/>
        <w:rPr>
          <w:lang w:eastAsia="zh-CN"/>
        </w:rPr>
      </w:pPr>
      <w:r>
        <w:rPr>
          <w:rFonts w:hint="eastAsia"/>
          <w:lang w:eastAsia="zh-CN"/>
        </w:rPr>
        <w:t xml:space="preserve">    </w:t>
      </w:r>
      <w:r>
        <w:rPr>
          <w:lang w:eastAsia="zh-CN"/>
        </w:rPr>
        <w:t>2.为使参选人在准备参选文件时有合理的时间考虑比选文件的修改，比选人可酌情推迟参选截止时间和开评时间，并以书面形式通知已获得比选文件的每一参选人。</w:t>
      </w:r>
    </w:p>
    <w:p>
      <w:pPr>
        <w:pStyle w:val="25"/>
        <w:spacing w:line="360" w:lineRule="auto"/>
        <w:ind w:right="121"/>
        <w:jc w:val="both"/>
        <w:rPr>
          <w:lang w:eastAsia="zh-CN"/>
        </w:rPr>
      </w:pPr>
      <w:r>
        <w:rPr>
          <w:rFonts w:hint="eastAsia"/>
          <w:lang w:eastAsia="zh-CN"/>
        </w:rPr>
        <w:t xml:space="preserve">    </w:t>
      </w:r>
      <w:r>
        <w:rPr>
          <w:lang w:eastAsia="zh-CN"/>
        </w:rPr>
        <w:t>3.比选文件的修改书将构成比选文件的一部分，对参选人具有约束作用。</w:t>
      </w:r>
    </w:p>
    <w:p>
      <w:pPr>
        <w:spacing w:before="15" w:line="360" w:lineRule="auto"/>
        <w:ind w:firstLine="555"/>
        <w:rPr>
          <w:b/>
          <w:w w:val="95"/>
          <w:sz w:val="28"/>
          <w:lang w:eastAsia="zh-CN"/>
        </w:rPr>
      </w:pPr>
      <w:r>
        <w:rPr>
          <w:b/>
          <w:w w:val="95"/>
          <w:sz w:val="28"/>
          <w:lang w:eastAsia="zh-CN"/>
        </w:rPr>
        <w:t>六、参选人资格</w:t>
      </w:r>
    </w:p>
    <w:p>
      <w:pPr>
        <w:pStyle w:val="86"/>
        <w:numPr>
          <w:ilvl w:val="0"/>
          <w:numId w:val="11"/>
        </w:numPr>
        <w:autoSpaceDE/>
        <w:autoSpaceDN/>
        <w:spacing w:before="0" w:line="360" w:lineRule="auto"/>
        <w:jc w:val="both"/>
        <w:rPr>
          <w:sz w:val="24"/>
          <w:lang w:eastAsia="zh-CN"/>
        </w:rPr>
      </w:pPr>
      <w:r>
        <w:rPr>
          <w:rFonts w:hint="eastAsia"/>
          <w:sz w:val="24"/>
          <w:lang w:eastAsia="zh-CN"/>
        </w:rPr>
        <w:t>参选人必须具备有效的企业法人营业执照，具有在中华人民共和国注册的法人资格</w:t>
      </w:r>
      <w:r>
        <w:rPr>
          <w:sz w:val="24"/>
          <w:lang w:eastAsia="zh-CN"/>
        </w:rPr>
        <w:t>。</w:t>
      </w:r>
    </w:p>
    <w:p>
      <w:pPr>
        <w:pStyle w:val="86"/>
        <w:numPr>
          <w:ilvl w:val="0"/>
          <w:numId w:val="11"/>
        </w:numPr>
        <w:autoSpaceDE/>
        <w:autoSpaceDN/>
        <w:spacing w:before="0" w:line="360" w:lineRule="auto"/>
        <w:jc w:val="both"/>
        <w:rPr>
          <w:sz w:val="24"/>
          <w:lang w:eastAsia="zh-CN"/>
        </w:rPr>
      </w:pPr>
      <w:r>
        <w:rPr>
          <w:rFonts w:hint="eastAsia"/>
          <w:sz w:val="24"/>
          <w:lang w:eastAsia="zh-CN"/>
        </w:rPr>
        <w:t>参选人应具备电力设计乙级（或以上）资质或电力工程施工总承包三级（或以上）资质。</w:t>
      </w:r>
    </w:p>
    <w:p>
      <w:pPr>
        <w:pStyle w:val="86"/>
        <w:numPr>
          <w:ilvl w:val="0"/>
          <w:numId w:val="11"/>
        </w:numPr>
        <w:tabs>
          <w:tab w:val="left" w:pos="360"/>
          <w:tab w:val="left" w:pos="540"/>
          <w:tab w:val="left" w:pos="720"/>
        </w:tabs>
        <w:autoSpaceDE/>
        <w:autoSpaceDN/>
        <w:spacing w:before="0" w:line="360" w:lineRule="auto"/>
        <w:jc w:val="both"/>
        <w:rPr>
          <w:sz w:val="24"/>
          <w:lang w:eastAsia="zh-CN"/>
        </w:rPr>
      </w:pPr>
      <w:r>
        <w:rPr>
          <w:rFonts w:hint="eastAsia"/>
          <w:sz w:val="24"/>
          <w:lang w:eastAsia="zh-CN"/>
        </w:rPr>
        <w:t>本项目不接受联合体参选。单位负责人为同一人或者存在控股、管理关系的不同单位，不得同时参加本招标项目投标。</w:t>
      </w:r>
    </w:p>
    <w:p>
      <w:pPr>
        <w:pStyle w:val="86"/>
        <w:numPr>
          <w:ilvl w:val="0"/>
          <w:numId w:val="11"/>
        </w:numPr>
        <w:autoSpaceDE/>
        <w:autoSpaceDN/>
        <w:spacing w:before="0" w:line="360" w:lineRule="auto"/>
        <w:jc w:val="both"/>
        <w:rPr>
          <w:sz w:val="24"/>
          <w:lang w:eastAsia="zh-CN"/>
        </w:rPr>
      </w:pPr>
      <w:r>
        <w:rPr>
          <w:rFonts w:hint="eastAsia"/>
          <w:sz w:val="24"/>
          <w:lang w:eastAsia="zh-CN"/>
        </w:rPr>
        <w:t>参选人没有失信黑名单记录（以最高院失信被执行人系统发布信息为准）。</w:t>
      </w:r>
    </w:p>
    <w:p>
      <w:pPr>
        <w:pStyle w:val="86"/>
        <w:numPr>
          <w:ilvl w:val="0"/>
          <w:numId w:val="11"/>
        </w:numPr>
        <w:autoSpaceDE/>
        <w:autoSpaceDN/>
        <w:spacing w:before="0" w:line="360" w:lineRule="auto"/>
        <w:jc w:val="both"/>
        <w:rPr>
          <w:sz w:val="24"/>
          <w:lang w:eastAsia="zh-CN"/>
        </w:rPr>
      </w:pPr>
      <w:r>
        <w:rPr>
          <w:rFonts w:hint="eastAsia"/>
          <w:sz w:val="24"/>
          <w:lang w:eastAsia="zh-CN"/>
        </w:rPr>
        <w:t>参选人与比选人无诉讼纠纷。</w:t>
      </w:r>
    </w:p>
    <w:p>
      <w:pPr>
        <w:ind w:left="832"/>
        <w:rPr>
          <w:lang w:eastAsia="zh-CN"/>
        </w:rPr>
      </w:pPr>
      <w:r>
        <w:rPr>
          <w:b/>
          <w:w w:val="95"/>
          <w:sz w:val="28"/>
          <w:lang w:eastAsia="zh-CN"/>
        </w:rPr>
        <w:t>七、参选保证金：</w:t>
      </w:r>
      <w:r>
        <w:rPr>
          <w:rFonts w:hint="eastAsia"/>
          <w:lang w:eastAsia="zh-CN"/>
        </w:rPr>
        <w:t xml:space="preserve"> </w:t>
      </w:r>
    </w:p>
    <w:p>
      <w:pPr>
        <w:pStyle w:val="25"/>
        <w:spacing w:line="360" w:lineRule="auto"/>
        <w:ind w:right="121" w:firstLine="480" w:firstLineChars="200"/>
        <w:jc w:val="both"/>
        <w:rPr>
          <w:lang w:eastAsia="zh-CN"/>
        </w:rPr>
      </w:pPr>
      <w:r>
        <w:rPr>
          <w:rFonts w:hint="eastAsia"/>
          <w:lang w:eastAsia="zh-CN"/>
        </w:rPr>
        <w:t>1.参选单位应缴纳参选保证金，</w:t>
      </w:r>
      <w:r>
        <w:rPr>
          <w:rFonts w:hint="eastAsia"/>
          <w:b/>
          <w:lang w:eastAsia="zh-CN"/>
        </w:rPr>
        <w:t>保证金金额</w:t>
      </w:r>
      <w:r>
        <w:rPr>
          <w:b/>
          <w:lang w:eastAsia="zh-CN"/>
        </w:rPr>
        <w:t>RMB16000</w:t>
      </w:r>
      <w:r>
        <w:rPr>
          <w:rFonts w:hint="eastAsia"/>
          <w:b/>
          <w:lang w:eastAsia="zh-CN"/>
        </w:rPr>
        <w:t>元整</w:t>
      </w:r>
      <w:r>
        <w:rPr>
          <w:rFonts w:hint="eastAsia"/>
          <w:lang w:eastAsia="zh-CN"/>
        </w:rPr>
        <w:t>，参选单位应按照要求从参选单位基本账户转入比选单位的账户，比选单位账户信息如下：</w:t>
      </w:r>
    </w:p>
    <w:p>
      <w:pPr>
        <w:pStyle w:val="25"/>
        <w:spacing w:line="360" w:lineRule="auto"/>
        <w:ind w:right="121"/>
        <w:jc w:val="both"/>
        <w:rPr>
          <w:lang w:eastAsia="zh-CN"/>
        </w:rPr>
      </w:pPr>
      <w:r>
        <w:rPr>
          <w:rFonts w:hint="eastAsia"/>
          <w:lang w:eastAsia="zh-CN"/>
        </w:rPr>
        <w:t xml:space="preserve">    开户名称：福建福海创石油化工有限公司</w:t>
      </w:r>
    </w:p>
    <w:p>
      <w:pPr>
        <w:pStyle w:val="25"/>
        <w:spacing w:line="360" w:lineRule="auto"/>
        <w:ind w:right="121"/>
        <w:jc w:val="both"/>
        <w:rPr>
          <w:lang w:eastAsia="zh-CN"/>
        </w:rPr>
      </w:pPr>
      <w:r>
        <w:rPr>
          <w:rFonts w:hint="eastAsia"/>
          <w:lang w:eastAsia="zh-CN"/>
        </w:rPr>
        <w:t xml:space="preserve">    开户银行：中国银行漳州古雷支行</w:t>
      </w:r>
    </w:p>
    <w:p>
      <w:pPr>
        <w:pStyle w:val="25"/>
        <w:spacing w:line="360" w:lineRule="auto"/>
        <w:ind w:right="121"/>
        <w:jc w:val="both"/>
        <w:rPr>
          <w:lang w:eastAsia="zh-CN"/>
        </w:rPr>
      </w:pPr>
      <w:r>
        <w:rPr>
          <w:rFonts w:hint="eastAsia"/>
          <w:lang w:eastAsia="zh-CN"/>
        </w:rPr>
        <w:t xml:space="preserve">    帐号：</w:t>
      </w:r>
      <w:r>
        <w:rPr>
          <w:lang w:eastAsia="zh-CN"/>
        </w:rPr>
        <w:t>406574816628</w:t>
      </w:r>
    </w:p>
    <w:p>
      <w:pPr>
        <w:pStyle w:val="25"/>
        <w:spacing w:line="360" w:lineRule="auto"/>
        <w:ind w:right="121"/>
        <w:jc w:val="both"/>
        <w:rPr>
          <w:lang w:eastAsia="zh-CN"/>
        </w:rPr>
      </w:pPr>
      <w:r>
        <w:rPr>
          <w:rFonts w:hint="eastAsia"/>
          <w:lang w:eastAsia="zh-CN"/>
        </w:rPr>
        <w:t xml:space="preserve">    注明用途：</w:t>
      </w:r>
      <w:r>
        <w:rPr>
          <w:rFonts w:hint="eastAsia"/>
          <w:b/>
          <w:u w:val="single"/>
          <w:lang w:eastAsia="zh-CN"/>
        </w:rPr>
        <w:t>锅炉火检风源管改造发包项目参选</w:t>
      </w:r>
      <w:r>
        <w:rPr>
          <w:b/>
          <w:u w:val="single"/>
          <w:lang w:eastAsia="zh-CN"/>
        </w:rPr>
        <w:t>保证金</w:t>
      </w:r>
    </w:p>
    <w:p>
      <w:pPr>
        <w:pStyle w:val="25"/>
        <w:spacing w:line="360" w:lineRule="auto"/>
        <w:ind w:right="121"/>
        <w:jc w:val="both"/>
        <w:rPr>
          <w:lang w:eastAsia="zh-CN"/>
        </w:rPr>
      </w:pPr>
      <w:r>
        <w:rPr>
          <w:rFonts w:hint="eastAsia"/>
          <w:lang w:eastAsia="zh-CN"/>
        </w:rPr>
        <w:t xml:space="preserve">    参选保证金有效期：</w:t>
      </w:r>
      <w:r>
        <w:rPr>
          <w:lang w:eastAsia="zh-CN"/>
        </w:rPr>
        <w:t>90</w:t>
      </w:r>
      <w:r>
        <w:rPr>
          <w:rFonts w:hint="eastAsia"/>
          <w:lang w:eastAsia="zh-CN"/>
        </w:rPr>
        <w:t>日历天。</w:t>
      </w:r>
    </w:p>
    <w:p>
      <w:pPr>
        <w:pStyle w:val="25"/>
        <w:spacing w:line="360" w:lineRule="auto"/>
        <w:ind w:right="121"/>
        <w:jc w:val="both"/>
        <w:rPr>
          <w:lang w:eastAsia="zh-CN"/>
        </w:rPr>
      </w:pPr>
      <w:r>
        <w:rPr>
          <w:rFonts w:hint="eastAsia"/>
          <w:lang w:eastAsia="zh-CN"/>
        </w:rPr>
        <w:t xml:space="preserve">    注：开户许可证上账号应与参选保证金转账回单上账号一致，否则视为未按规定提交参选保证金,所造成的一切后果由参选人自行负责。参选保证金应在参选人递交参选文件前缴纳并将相关缴款凭证放入比选文件中。</w:t>
      </w:r>
    </w:p>
    <w:p>
      <w:pPr>
        <w:pStyle w:val="25"/>
        <w:spacing w:line="360" w:lineRule="auto"/>
        <w:ind w:right="121"/>
        <w:jc w:val="both"/>
        <w:rPr>
          <w:lang w:eastAsia="zh-CN"/>
        </w:rPr>
      </w:pPr>
      <w:r>
        <w:rPr>
          <w:rFonts w:hint="eastAsia"/>
          <w:lang w:eastAsia="zh-CN"/>
        </w:rPr>
        <w:t xml:space="preserve">    2.对于未能按要求提交保证金的参选文件，比选单位可以视为不符合上面比选要求而予以拒绝；</w:t>
      </w:r>
    </w:p>
    <w:p>
      <w:pPr>
        <w:pStyle w:val="25"/>
        <w:spacing w:line="360" w:lineRule="auto"/>
        <w:ind w:right="121"/>
        <w:jc w:val="both"/>
        <w:rPr>
          <w:lang w:eastAsia="zh-CN"/>
        </w:rPr>
      </w:pPr>
      <w:r>
        <w:rPr>
          <w:rFonts w:hint="eastAsia"/>
          <w:lang w:eastAsia="zh-CN"/>
        </w:rPr>
        <w:t xml:space="preserve">    3.比选结束后比选人将于合同签订后退还未中选者的比选保证金（无息），最迟不超过相应合同签订后的</w:t>
      </w:r>
      <w:r>
        <w:rPr>
          <w:lang w:eastAsia="zh-CN"/>
        </w:rPr>
        <w:t>6</w:t>
      </w:r>
      <w:r>
        <w:rPr>
          <w:rFonts w:hint="eastAsia"/>
          <w:lang w:eastAsia="zh-CN"/>
        </w:rPr>
        <w:t>0天；</w:t>
      </w:r>
    </w:p>
    <w:p>
      <w:pPr>
        <w:pStyle w:val="25"/>
        <w:spacing w:line="360" w:lineRule="auto"/>
        <w:ind w:right="121"/>
        <w:jc w:val="both"/>
        <w:rPr>
          <w:b/>
          <w:color w:val="000000" w:themeColor="text1"/>
          <w:lang w:eastAsia="zh-CN"/>
        </w:rPr>
      </w:pPr>
      <w:r>
        <w:rPr>
          <w:rFonts w:hint="eastAsia"/>
          <w:lang w:eastAsia="zh-CN"/>
        </w:rPr>
        <w:t xml:space="preserve">   </w:t>
      </w:r>
      <w:r>
        <w:rPr>
          <w:rFonts w:hint="eastAsia"/>
          <w:b/>
          <w:lang w:eastAsia="zh-CN"/>
        </w:rPr>
        <w:t xml:space="preserve"> 4.合同签订后1</w:t>
      </w:r>
      <w:r>
        <w:rPr>
          <w:b/>
          <w:lang w:eastAsia="zh-CN"/>
        </w:rPr>
        <w:t>0个工作日内，</w:t>
      </w:r>
      <w:r>
        <w:rPr>
          <w:rFonts w:hint="eastAsia"/>
          <w:b/>
          <w:lang w:eastAsia="zh-CN"/>
        </w:rPr>
        <w:t>中选商需向比选人指定的履约保证金账户汇入中选的合同含税总价的1</w:t>
      </w:r>
      <w:r>
        <w:rPr>
          <w:b/>
          <w:lang w:eastAsia="zh-CN"/>
        </w:rPr>
        <w:t>0%作为履约保证金</w:t>
      </w:r>
      <w:r>
        <w:rPr>
          <w:rFonts w:hint="eastAsia"/>
          <w:b/>
          <w:lang w:eastAsia="zh-CN"/>
        </w:rPr>
        <w:t>，收到履约保证金后，比选人将全额无息退还中选商已缴纳的R</w:t>
      </w:r>
      <w:r>
        <w:rPr>
          <w:b/>
          <w:lang w:eastAsia="zh-CN"/>
        </w:rPr>
        <w:t>MB16000</w:t>
      </w:r>
      <w:r>
        <w:rPr>
          <w:rFonts w:hint="eastAsia"/>
          <w:b/>
          <w:lang w:eastAsia="zh-CN"/>
        </w:rPr>
        <w:t>元参选保证金。</w:t>
      </w:r>
      <w:r>
        <w:rPr>
          <w:b/>
          <w:lang w:eastAsia="zh-CN"/>
        </w:rPr>
        <w:t>未按时间要求缴纳履约保证金的中选商将被取消中选资格并没收相应的参选保证金。</w:t>
      </w:r>
    </w:p>
    <w:p>
      <w:pPr>
        <w:pStyle w:val="25"/>
        <w:spacing w:line="360" w:lineRule="auto"/>
        <w:ind w:right="121"/>
        <w:jc w:val="both"/>
        <w:rPr>
          <w:lang w:eastAsia="zh-CN"/>
        </w:rPr>
      </w:pPr>
      <w:r>
        <w:rPr>
          <w:rFonts w:hint="eastAsia"/>
          <w:lang w:eastAsia="zh-CN"/>
        </w:rPr>
        <w:t xml:space="preserve">    5.如有下列情况发生，将被没收参选保证金：</w:t>
      </w:r>
    </w:p>
    <w:p>
      <w:pPr>
        <w:pStyle w:val="25"/>
        <w:spacing w:line="360" w:lineRule="auto"/>
        <w:ind w:right="121"/>
        <w:jc w:val="both"/>
        <w:rPr>
          <w:lang w:eastAsia="zh-CN"/>
        </w:rPr>
      </w:pPr>
      <w:r>
        <w:rPr>
          <w:rFonts w:hint="eastAsia"/>
          <w:lang w:eastAsia="zh-CN"/>
        </w:rPr>
        <w:t xml:space="preserve">    （1）参选单位在参选有效期内撤回参选文件；</w:t>
      </w:r>
    </w:p>
    <w:p>
      <w:pPr>
        <w:pStyle w:val="25"/>
        <w:spacing w:line="360" w:lineRule="auto"/>
        <w:ind w:right="121"/>
        <w:jc w:val="both"/>
        <w:rPr>
          <w:lang w:eastAsia="zh-CN"/>
        </w:rPr>
      </w:pPr>
      <w:r>
        <w:rPr>
          <w:rFonts w:hint="eastAsia"/>
          <w:lang w:eastAsia="zh-CN"/>
        </w:rPr>
        <w:t xml:space="preserve">    （2）参选单位未能按接到中标通知后规定的时间内签定合同。</w:t>
      </w:r>
    </w:p>
    <w:p>
      <w:pPr>
        <w:pStyle w:val="25"/>
        <w:spacing w:line="360" w:lineRule="auto"/>
        <w:ind w:right="121" w:firstLine="534" w:firstLineChars="200"/>
        <w:jc w:val="both"/>
        <w:rPr>
          <w:b/>
          <w:w w:val="95"/>
          <w:sz w:val="28"/>
          <w:lang w:eastAsia="zh-CN"/>
        </w:rPr>
      </w:pPr>
      <w:r>
        <w:rPr>
          <w:b/>
          <w:w w:val="95"/>
          <w:sz w:val="28"/>
          <w:lang w:eastAsia="zh-CN"/>
        </w:rPr>
        <w:t>八、参选文件的递交</w:t>
      </w:r>
    </w:p>
    <w:p>
      <w:pPr>
        <w:pStyle w:val="25"/>
        <w:spacing w:line="360" w:lineRule="auto"/>
        <w:ind w:right="121"/>
        <w:jc w:val="both"/>
        <w:rPr>
          <w:lang w:eastAsia="zh-CN"/>
        </w:rPr>
      </w:pPr>
      <w:r>
        <w:rPr>
          <w:rFonts w:hint="eastAsia"/>
          <w:lang w:eastAsia="zh-CN"/>
        </w:rPr>
        <w:t xml:space="preserve">    </w:t>
      </w:r>
      <w:r>
        <w:rPr>
          <w:lang w:eastAsia="zh-CN"/>
        </w:rPr>
        <w:t xml:space="preserve">1.参选文件递交的截止时间： </w:t>
      </w:r>
    </w:p>
    <w:p>
      <w:pPr>
        <w:pStyle w:val="25"/>
        <w:spacing w:line="360" w:lineRule="auto"/>
        <w:ind w:right="121"/>
        <w:jc w:val="both"/>
        <w:rPr>
          <w:b/>
          <w:lang w:eastAsia="zh-CN"/>
        </w:rPr>
      </w:pPr>
      <w:r>
        <w:rPr>
          <w:bCs/>
          <w:szCs w:val="21"/>
          <w:lang w:eastAsia="zh-CN"/>
        </w:rPr>
        <w:t>参选人需于指定报名时间段内</w:t>
      </w:r>
      <w:r>
        <w:rPr>
          <w:rFonts w:hint="eastAsia"/>
          <w:bCs/>
          <w:szCs w:val="21"/>
          <w:lang w:eastAsia="zh-CN"/>
        </w:rPr>
        <w:t>进行报名并完成技术交流澄清，并按比选公告中时间截止点要求之前将参选文件纸质原件密封送达比选人指定地点</w:t>
      </w:r>
      <w:r>
        <w:rPr>
          <w:rFonts w:hint="eastAsia"/>
          <w:b/>
          <w:lang w:eastAsia="zh-CN"/>
        </w:rPr>
        <w:t>。</w:t>
      </w:r>
    </w:p>
    <w:p>
      <w:pPr>
        <w:pStyle w:val="25"/>
        <w:spacing w:line="360" w:lineRule="auto"/>
        <w:ind w:right="121"/>
        <w:jc w:val="both"/>
        <w:rPr>
          <w:b/>
          <w:lang w:eastAsia="zh-CN"/>
        </w:rPr>
      </w:pPr>
      <w:r>
        <w:rPr>
          <w:rFonts w:hint="eastAsia"/>
          <w:lang w:eastAsia="zh-CN"/>
        </w:rPr>
        <w:t xml:space="preserve">    </w:t>
      </w:r>
      <w:r>
        <w:rPr>
          <w:lang w:eastAsia="zh-CN"/>
        </w:rPr>
        <w:t>2.递交参选文件的地点为：</w:t>
      </w:r>
      <w:r>
        <w:rPr>
          <w:b/>
          <w:lang w:eastAsia="zh-CN"/>
        </w:rPr>
        <w:t>福建省</w:t>
      </w:r>
      <w:r>
        <w:rPr>
          <w:rFonts w:hint="eastAsia"/>
          <w:b/>
          <w:lang w:eastAsia="zh-CN"/>
        </w:rPr>
        <w:t>漳州市漳浦县杜浔镇杜昌路9号福建福海创石油化工有限公司办公楼二</w:t>
      </w:r>
      <w:r>
        <w:rPr>
          <w:b/>
          <w:lang w:eastAsia="zh-CN"/>
        </w:rPr>
        <w:t>楼企业管理部，联系人：</w:t>
      </w:r>
      <w:r>
        <w:rPr>
          <w:rFonts w:hint="eastAsia"/>
          <w:b/>
          <w:lang w:eastAsia="zh-CN"/>
        </w:rPr>
        <w:t xml:space="preserve">陈惠国  </w:t>
      </w:r>
      <w:r>
        <w:rPr>
          <w:b/>
          <w:lang w:eastAsia="zh-CN"/>
        </w:rPr>
        <w:t xml:space="preserve"> 联系电话：15860628004</w:t>
      </w:r>
      <w:r>
        <w:rPr>
          <w:rFonts w:hint="eastAsia"/>
          <w:b/>
          <w:lang w:eastAsia="zh-CN"/>
        </w:rPr>
        <w:t>。</w:t>
      </w:r>
      <w:r>
        <w:rPr>
          <w:b/>
          <w:lang w:eastAsia="zh-CN"/>
        </w:rPr>
        <w:t>注：请使用顺丰快递或中国邮政 EMS 快递，其他快递不能保证送达目的地。</w:t>
      </w:r>
      <w:r>
        <w:rPr>
          <w:rFonts w:hint="eastAsia"/>
          <w:b/>
          <w:lang w:eastAsia="zh-CN"/>
        </w:rPr>
        <w:t>寄送快递时，请在快递件上面备注清楚寄件人公司名称及相应标书项目名称！！</w:t>
      </w:r>
    </w:p>
    <w:p>
      <w:pPr>
        <w:pStyle w:val="25"/>
        <w:spacing w:line="360" w:lineRule="auto"/>
        <w:ind w:right="121"/>
        <w:jc w:val="both"/>
        <w:rPr>
          <w:lang w:eastAsia="zh-CN"/>
        </w:rPr>
      </w:pPr>
      <w:r>
        <w:rPr>
          <w:rFonts w:hint="eastAsia"/>
          <w:lang w:eastAsia="zh-CN"/>
        </w:rPr>
        <w:t xml:space="preserve">    </w:t>
      </w:r>
      <w:r>
        <w:rPr>
          <w:lang w:eastAsia="zh-CN"/>
        </w:rPr>
        <w:t>3.只允许参选人有一个参选方案，否则将被视为无效参选。</w:t>
      </w:r>
    </w:p>
    <w:p>
      <w:pPr>
        <w:pStyle w:val="25"/>
        <w:spacing w:line="360" w:lineRule="auto"/>
        <w:ind w:right="121"/>
        <w:jc w:val="both"/>
        <w:rPr>
          <w:lang w:eastAsia="zh-CN"/>
        </w:rPr>
      </w:pPr>
      <w:r>
        <w:rPr>
          <w:rFonts w:hint="eastAsia"/>
          <w:lang w:eastAsia="zh-CN"/>
        </w:rPr>
        <w:t xml:space="preserve">    </w:t>
      </w:r>
      <w:r>
        <w:rPr>
          <w:lang w:eastAsia="zh-CN"/>
        </w:rPr>
        <w:t>4.逾期送达的或未送达指定地点或参选文件密封不符合规定要求的参选文件，比选人不予受理。参选人所提交的比选文件在评选结束后，无论中选与否都不退还。</w:t>
      </w:r>
    </w:p>
    <w:p>
      <w:pPr>
        <w:pStyle w:val="25"/>
        <w:spacing w:line="360" w:lineRule="auto"/>
        <w:ind w:right="121"/>
        <w:jc w:val="both"/>
        <w:rPr>
          <w:lang w:eastAsia="zh-CN"/>
        </w:rPr>
      </w:pPr>
      <w:r>
        <w:rPr>
          <w:rFonts w:hint="eastAsia"/>
          <w:lang w:eastAsia="zh-CN"/>
        </w:rPr>
        <w:t xml:space="preserve">    </w:t>
      </w:r>
      <w:r>
        <w:rPr>
          <w:lang w:eastAsia="zh-CN"/>
        </w:rPr>
        <w:t>5.参选人收到比选文件后，如有疑问需要澄清，请以书面形式在规定时间内报比选人汇总。</w:t>
      </w:r>
    </w:p>
    <w:p>
      <w:pPr>
        <w:pStyle w:val="25"/>
        <w:spacing w:line="360" w:lineRule="auto"/>
        <w:ind w:right="121"/>
        <w:jc w:val="both"/>
        <w:rPr>
          <w:b/>
          <w:bCs/>
          <w:sz w:val="28"/>
          <w:szCs w:val="28"/>
          <w:lang w:eastAsia="zh-CN"/>
        </w:rPr>
      </w:pPr>
      <w:r>
        <w:rPr>
          <w:rFonts w:hint="eastAsia"/>
          <w:lang w:eastAsia="zh-CN"/>
        </w:rPr>
        <w:t xml:space="preserve">    </w:t>
      </w:r>
      <w:r>
        <w:rPr>
          <w:lang w:eastAsia="zh-CN"/>
        </w:rPr>
        <w:t>6.参选人对比选人提供的比选文件所做出的推论、解释和结论，比选人概不负责。参选人由于对比选文件的任何推论和误解以及比选对有关问题的口头解释所造成的后果，均由参选人负责。</w:t>
      </w:r>
    </w:p>
    <w:p>
      <w:pPr>
        <w:widowControl/>
        <w:autoSpaceDE/>
        <w:autoSpaceDN/>
        <w:jc w:val="center"/>
        <w:rPr>
          <w:b/>
          <w:bCs/>
          <w:sz w:val="28"/>
          <w:szCs w:val="28"/>
          <w:lang w:eastAsia="zh-CN"/>
        </w:rPr>
      </w:pPr>
      <w:r>
        <w:rPr>
          <w:lang w:eastAsia="zh-CN"/>
        </w:rPr>
        <w:br w:type="page"/>
      </w:r>
      <w:r>
        <w:rPr>
          <w:b/>
          <w:bCs/>
          <w:sz w:val="28"/>
          <w:szCs w:val="28"/>
          <w:lang w:eastAsia="zh-CN"/>
        </w:rPr>
        <w:t>第三章</w:t>
      </w:r>
      <w:r>
        <w:rPr>
          <w:b/>
          <w:bCs/>
          <w:sz w:val="28"/>
          <w:szCs w:val="28"/>
          <w:lang w:eastAsia="zh-CN"/>
        </w:rPr>
        <w:tab/>
      </w:r>
      <w:r>
        <w:rPr>
          <w:b/>
          <w:bCs/>
          <w:sz w:val="28"/>
          <w:szCs w:val="28"/>
          <w:lang w:eastAsia="zh-CN"/>
        </w:rPr>
        <w:t>参选文件的编制</w:t>
      </w:r>
    </w:p>
    <w:p>
      <w:pPr>
        <w:spacing w:before="15" w:line="360" w:lineRule="auto"/>
        <w:rPr>
          <w:b/>
          <w:w w:val="95"/>
          <w:sz w:val="28"/>
          <w:lang w:eastAsia="zh-CN"/>
        </w:rPr>
      </w:pPr>
      <w:r>
        <w:rPr>
          <w:rFonts w:hint="eastAsia"/>
          <w:b/>
          <w:w w:val="95"/>
          <w:sz w:val="28"/>
          <w:lang w:eastAsia="zh-CN"/>
        </w:rPr>
        <w:t xml:space="preserve">    一、</w:t>
      </w:r>
      <w:r>
        <w:rPr>
          <w:b/>
          <w:w w:val="95"/>
          <w:sz w:val="28"/>
          <w:lang w:eastAsia="zh-CN"/>
        </w:rPr>
        <w:t>参选文件的组成：</w:t>
      </w:r>
    </w:p>
    <w:p>
      <w:pPr>
        <w:pStyle w:val="25"/>
        <w:spacing w:line="360" w:lineRule="auto"/>
        <w:ind w:right="121" w:firstLine="480" w:firstLineChars="200"/>
        <w:jc w:val="both"/>
        <w:rPr>
          <w:lang w:eastAsia="zh-CN"/>
        </w:rPr>
      </w:pPr>
      <w:r>
        <w:rPr>
          <w:rFonts w:hint="eastAsia"/>
          <w:lang w:eastAsia="zh-CN"/>
        </w:rPr>
        <w:t>1.技术参选文件</w:t>
      </w:r>
    </w:p>
    <w:p>
      <w:pPr>
        <w:pStyle w:val="25"/>
        <w:spacing w:line="360" w:lineRule="auto"/>
        <w:ind w:right="121" w:firstLine="360" w:firstLineChars="150"/>
        <w:jc w:val="both"/>
        <w:rPr>
          <w:lang w:eastAsia="zh-CN"/>
        </w:rPr>
      </w:pPr>
      <w:r>
        <w:rPr>
          <w:lang w:eastAsia="zh-CN"/>
        </w:rPr>
        <w:t>技术参选文件主要包含以下：</w:t>
      </w:r>
    </w:p>
    <w:tbl>
      <w:tblPr>
        <w:tblStyle w:val="60"/>
        <w:tblW w:w="8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7"/>
        <w:gridCol w:w="76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1227" w:type="dxa"/>
          </w:tcPr>
          <w:p>
            <w:pPr>
              <w:spacing w:line="500" w:lineRule="exact"/>
              <w:jc w:val="center"/>
              <w:rPr>
                <w:sz w:val="24"/>
              </w:rPr>
            </w:pPr>
            <w:r>
              <w:rPr>
                <w:rFonts w:hint="eastAsia"/>
                <w:sz w:val="24"/>
              </w:rPr>
              <w:t>1</w:t>
            </w:r>
          </w:p>
        </w:tc>
        <w:tc>
          <w:tcPr>
            <w:tcW w:w="7610" w:type="dxa"/>
          </w:tcPr>
          <w:p>
            <w:pPr>
              <w:spacing w:line="500" w:lineRule="exact"/>
              <w:rPr>
                <w:lang w:eastAsia="zh-CN"/>
              </w:rPr>
            </w:pPr>
            <w:r>
              <w:rPr>
                <w:rFonts w:hint="eastAsia"/>
                <w:lang w:eastAsia="zh-CN"/>
              </w:rPr>
              <w:t>参选书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1" w:hRule="atLeast"/>
          <w:jc w:val="center"/>
        </w:trPr>
        <w:tc>
          <w:tcPr>
            <w:tcW w:w="1227" w:type="dxa"/>
          </w:tcPr>
          <w:p>
            <w:pPr>
              <w:spacing w:line="500" w:lineRule="exact"/>
              <w:jc w:val="center"/>
              <w:rPr>
                <w:sz w:val="24"/>
              </w:rPr>
            </w:pPr>
            <w:r>
              <w:rPr>
                <w:rFonts w:hint="eastAsia"/>
                <w:sz w:val="24"/>
              </w:rPr>
              <w:t>2</w:t>
            </w:r>
          </w:p>
        </w:tc>
        <w:tc>
          <w:tcPr>
            <w:tcW w:w="7610" w:type="dxa"/>
          </w:tcPr>
          <w:p>
            <w:pPr>
              <w:spacing w:line="500" w:lineRule="exact"/>
              <w:rPr>
                <w:lang w:eastAsia="zh-CN"/>
              </w:rPr>
            </w:pPr>
            <w:r>
              <w:rPr>
                <w:rFonts w:hint="eastAsia"/>
                <w:lang w:eastAsia="zh-CN"/>
              </w:rPr>
              <w:t>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7" w:type="dxa"/>
          </w:tcPr>
          <w:p>
            <w:pPr>
              <w:spacing w:line="500" w:lineRule="exact"/>
              <w:jc w:val="center"/>
              <w:rPr>
                <w:sz w:val="24"/>
              </w:rPr>
            </w:pPr>
            <w:r>
              <w:rPr>
                <w:rFonts w:hint="eastAsia"/>
                <w:sz w:val="24"/>
              </w:rPr>
              <w:t>3</w:t>
            </w:r>
          </w:p>
        </w:tc>
        <w:tc>
          <w:tcPr>
            <w:tcW w:w="7610" w:type="dxa"/>
          </w:tcPr>
          <w:p>
            <w:pPr>
              <w:spacing w:line="500" w:lineRule="exact"/>
              <w:rPr>
                <w:lang w:eastAsia="zh-CN"/>
              </w:rPr>
            </w:pPr>
            <w:r>
              <w:rPr>
                <w:rFonts w:hint="eastAsia"/>
                <w:lang w:eastAsia="zh-CN"/>
              </w:rPr>
              <w:t>法定代表人身份证复印件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7" w:type="dxa"/>
          </w:tcPr>
          <w:p>
            <w:pPr>
              <w:spacing w:line="500" w:lineRule="exact"/>
              <w:jc w:val="center"/>
              <w:rPr>
                <w:sz w:val="24"/>
              </w:rPr>
            </w:pPr>
            <w:r>
              <w:rPr>
                <w:rFonts w:hint="eastAsia"/>
                <w:sz w:val="24"/>
              </w:rPr>
              <w:t>4</w:t>
            </w:r>
          </w:p>
        </w:tc>
        <w:tc>
          <w:tcPr>
            <w:tcW w:w="7610" w:type="dxa"/>
          </w:tcPr>
          <w:p>
            <w:pPr>
              <w:spacing w:line="500" w:lineRule="exact"/>
              <w:rPr>
                <w:lang w:eastAsia="zh-CN"/>
              </w:rPr>
            </w:pPr>
            <w:r>
              <w:rPr>
                <w:rFonts w:hint="eastAsia"/>
                <w:lang w:eastAsia="zh-CN"/>
              </w:rPr>
              <w:t>授权代表身份证复印件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7" w:type="dxa"/>
          </w:tcPr>
          <w:p>
            <w:pPr>
              <w:spacing w:line="500" w:lineRule="exact"/>
              <w:jc w:val="center"/>
              <w:rPr>
                <w:sz w:val="24"/>
              </w:rPr>
            </w:pPr>
            <w:r>
              <w:rPr>
                <w:rFonts w:hint="eastAsia"/>
                <w:sz w:val="24"/>
              </w:rPr>
              <w:t>5</w:t>
            </w:r>
          </w:p>
        </w:tc>
        <w:tc>
          <w:tcPr>
            <w:tcW w:w="7610" w:type="dxa"/>
          </w:tcPr>
          <w:p>
            <w:pPr>
              <w:spacing w:line="500" w:lineRule="exact"/>
              <w:rPr>
                <w:lang w:eastAsia="zh-CN"/>
              </w:rPr>
            </w:pPr>
            <w:r>
              <w:rPr>
                <w:rFonts w:hint="eastAsia"/>
                <w:lang w:eastAsia="zh-CN"/>
              </w:rPr>
              <w:t>企业概况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7" w:type="dxa"/>
          </w:tcPr>
          <w:p>
            <w:pPr>
              <w:spacing w:line="500" w:lineRule="exact"/>
              <w:jc w:val="center"/>
              <w:rPr>
                <w:sz w:val="24"/>
              </w:rPr>
            </w:pPr>
            <w:r>
              <w:rPr>
                <w:rFonts w:hint="eastAsia"/>
                <w:sz w:val="24"/>
              </w:rPr>
              <w:t>6</w:t>
            </w:r>
          </w:p>
        </w:tc>
        <w:tc>
          <w:tcPr>
            <w:tcW w:w="7610" w:type="dxa"/>
          </w:tcPr>
          <w:p>
            <w:pPr>
              <w:spacing w:line="500" w:lineRule="exact"/>
              <w:rPr>
                <w:lang w:eastAsia="zh-CN"/>
              </w:rPr>
            </w:pPr>
            <w:r>
              <w:rPr>
                <w:rFonts w:hint="eastAsia"/>
                <w:lang w:eastAsia="zh-CN"/>
              </w:rPr>
              <w:t>营业执照和开户许可证复印件及参选保证金缴款凭证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7" w:type="dxa"/>
          </w:tcPr>
          <w:p>
            <w:pPr>
              <w:spacing w:line="500" w:lineRule="exact"/>
              <w:jc w:val="center"/>
              <w:rPr>
                <w:sz w:val="24"/>
                <w:lang w:eastAsia="zh-CN"/>
              </w:rPr>
            </w:pPr>
            <w:r>
              <w:rPr>
                <w:rFonts w:hint="eastAsia"/>
                <w:sz w:val="24"/>
                <w:lang w:eastAsia="zh-CN"/>
              </w:rPr>
              <w:t>7</w:t>
            </w:r>
          </w:p>
        </w:tc>
        <w:tc>
          <w:tcPr>
            <w:tcW w:w="7610" w:type="dxa"/>
          </w:tcPr>
          <w:p>
            <w:pPr>
              <w:spacing w:line="500" w:lineRule="exact"/>
              <w:rPr>
                <w:lang w:eastAsia="zh-CN"/>
              </w:rPr>
            </w:pPr>
            <w:r>
              <w:rPr>
                <w:lang w:eastAsia="zh-CN"/>
              </w:rPr>
              <w:t>相关资质要求</w:t>
            </w:r>
            <w:r>
              <w:rPr>
                <w:rFonts w:hint="eastAsia"/>
                <w:lang w:eastAsia="zh-CN"/>
              </w:rPr>
              <w:t>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7" w:type="dxa"/>
          </w:tcPr>
          <w:p>
            <w:pPr>
              <w:spacing w:line="500" w:lineRule="exact"/>
              <w:jc w:val="center"/>
              <w:rPr>
                <w:sz w:val="24"/>
                <w:lang w:eastAsia="zh-CN"/>
              </w:rPr>
            </w:pPr>
            <w:r>
              <w:rPr>
                <w:sz w:val="24"/>
                <w:lang w:eastAsia="zh-CN"/>
              </w:rPr>
              <w:t>8</w:t>
            </w:r>
          </w:p>
        </w:tc>
        <w:tc>
          <w:tcPr>
            <w:tcW w:w="7610" w:type="dxa"/>
          </w:tcPr>
          <w:p>
            <w:pPr>
              <w:spacing w:line="500" w:lineRule="exact"/>
              <w:rPr>
                <w:lang w:eastAsia="zh-CN"/>
              </w:rPr>
            </w:pPr>
            <w:r>
              <w:rPr>
                <w:rFonts w:hint="eastAsia"/>
                <w:lang w:eastAsia="zh-CN"/>
              </w:rPr>
              <w:t>技术</w:t>
            </w:r>
            <w:r>
              <w:rPr>
                <w:lang w:eastAsia="zh-CN"/>
              </w:rPr>
              <w:t>偏离表（如无技术偏离需在表中明确备注无偏离）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7" w:type="dxa"/>
          </w:tcPr>
          <w:p>
            <w:pPr>
              <w:spacing w:line="500" w:lineRule="exact"/>
              <w:jc w:val="center"/>
              <w:rPr>
                <w:sz w:val="24"/>
                <w:lang w:eastAsia="zh-CN"/>
              </w:rPr>
            </w:pPr>
            <w:r>
              <w:rPr>
                <w:sz w:val="24"/>
                <w:lang w:eastAsia="zh-CN"/>
              </w:rPr>
              <w:t>9</w:t>
            </w:r>
          </w:p>
        </w:tc>
        <w:tc>
          <w:tcPr>
            <w:tcW w:w="7610" w:type="dxa"/>
          </w:tcPr>
          <w:p>
            <w:pPr>
              <w:spacing w:line="500" w:lineRule="exact"/>
              <w:rPr>
                <w:lang w:eastAsia="zh-CN"/>
              </w:rPr>
            </w:pPr>
            <w:r>
              <w:rPr>
                <w:rFonts w:hint="eastAsia"/>
                <w:lang w:eastAsia="zh-CN"/>
              </w:rPr>
              <w:t>其他相关资料（包含技术规范书中要求的相关资料）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7" w:type="dxa"/>
          </w:tcPr>
          <w:p>
            <w:pPr>
              <w:spacing w:line="500" w:lineRule="exact"/>
              <w:jc w:val="center"/>
              <w:rPr>
                <w:sz w:val="24"/>
                <w:lang w:eastAsia="zh-CN"/>
              </w:rPr>
            </w:pPr>
            <w:r>
              <w:rPr>
                <w:sz w:val="24"/>
                <w:lang w:eastAsia="zh-CN"/>
              </w:rPr>
              <w:t>10</w:t>
            </w:r>
          </w:p>
        </w:tc>
        <w:tc>
          <w:tcPr>
            <w:tcW w:w="7610" w:type="dxa"/>
          </w:tcPr>
          <w:p>
            <w:pPr>
              <w:spacing w:line="500" w:lineRule="exact"/>
              <w:rPr>
                <w:lang w:eastAsia="zh-CN"/>
              </w:rPr>
            </w:pPr>
            <w:r>
              <w:rPr>
                <w:rFonts w:hint="eastAsia"/>
                <w:lang w:eastAsia="zh-CN"/>
              </w:rPr>
              <w:t>承诺函</w:t>
            </w:r>
          </w:p>
        </w:tc>
      </w:tr>
    </w:tbl>
    <w:p>
      <w:pPr>
        <w:pStyle w:val="25"/>
        <w:spacing w:before="26" w:line="322" w:lineRule="auto"/>
        <w:ind w:firstLine="480" w:firstLineChars="200"/>
        <w:rPr>
          <w:lang w:eastAsia="zh-CN"/>
        </w:rPr>
      </w:pPr>
      <w:r>
        <w:rPr>
          <w:lang w:eastAsia="zh-CN"/>
        </w:rPr>
        <w:t>备注：以上资料文件</w:t>
      </w:r>
      <w:r>
        <w:rPr>
          <w:b/>
          <w:bCs/>
          <w:lang w:eastAsia="zh-CN"/>
        </w:rPr>
        <w:t>胶装</w:t>
      </w:r>
      <w:r>
        <w:rPr>
          <w:lang w:eastAsia="zh-CN"/>
        </w:rPr>
        <w:t>密封并加盖公章。</w:t>
      </w:r>
    </w:p>
    <w:p>
      <w:pPr>
        <w:pStyle w:val="25"/>
        <w:spacing w:line="360" w:lineRule="auto"/>
        <w:ind w:right="121" w:firstLine="480" w:firstLineChars="200"/>
        <w:jc w:val="both"/>
        <w:rPr>
          <w:lang w:eastAsia="zh-CN"/>
        </w:rPr>
      </w:pPr>
      <w:r>
        <w:rPr>
          <w:rFonts w:hint="eastAsia"/>
          <w:lang w:eastAsia="zh-CN"/>
        </w:rPr>
        <w:t>2.商务参选文件：商务报价文件，见附件商务报价函格式</w:t>
      </w:r>
      <w:r>
        <w:rPr>
          <w:lang w:eastAsia="zh-CN"/>
        </w:rPr>
        <w:t>，需单独密封提供</w:t>
      </w:r>
      <w:r>
        <w:rPr>
          <w:rFonts w:hint="eastAsia"/>
          <w:lang w:eastAsia="zh-CN"/>
        </w:rPr>
        <w:t>。</w:t>
      </w:r>
    </w:p>
    <w:p>
      <w:pPr>
        <w:spacing w:before="15" w:line="360" w:lineRule="auto"/>
        <w:ind w:firstLine="534" w:firstLineChars="200"/>
        <w:rPr>
          <w:b/>
          <w:w w:val="95"/>
          <w:sz w:val="28"/>
          <w:lang w:eastAsia="zh-CN"/>
        </w:rPr>
      </w:pPr>
      <w:r>
        <w:rPr>
          <w:b/>
          <w:w w:val="95"/>
          <w:sz w:val="28"/>
          <w:lang w:eastAsia="zh-CN"/>
        </w:rPr>
        <w:t>二、参选书格式内容</w:t>
      </w:r>
    </w:p>
    <w:p>
      <w:pPr>
        <w:pStyle w:val="25"/>
        <w:spacing w:line="360" w:lineRule="auto"/>
        <w:ind w:right="121" w:firstLine="480" w:firstLineChars="200"/>
        <w:jc w:val="both"/>
        <w:rPr>
          <w:lang w:eastAsia="zh-CN"/>
        </w:rPr>
      </w:pPr>
      <w:r>
        <w:rPr>
          <w:lang w:eastAsia="zh-CN"/>
        </w:rPr>
        <w:t>参选人应按附件二格式内容要求进行参选书的编制。</w:t>
      </w:r>
    </w:p>
    <w:p>
      <w:pPr>
        <w:spacing w:before="15" w:line="360" w:lineRule="auto"/>
        <w:ind w:firstLine="534" w:firstLineChars="200"/>
        <w:rPr>
          <w:b/>
          <w:w w:val="95"/>
          <w:sz w:val="28"/>
          <w:lang w:eastAsia="zh-CN"/>
        </w:rPr>
      </w:pPr>
      <w:r>
        <w:rPr>
          <w:b/>
          <w:w w:val="95"/>
          <w:sz w:val="28"/>
          <w:lang w:eastAsia="zh-CN"/>
        </w:rPr>
        <w:t>三、参选报价</w:t>
      </w:r>
    </w:p>
    <w:p>
      <w:pPr>
        <w:pStyle w:val="25"/>
        <w:spacing w:line="360" w:lineRule="auto"/>
        <w:ind w:right="121" w:firstLine="480" w:firstLineChars="200"/>
        <w:jc w:val="both"/>
        <w:rPr>
          <w:lang w:eastAsia="zh-CN"/>
        </w:rPr>
      </w:pPr>
      <w:r>
        <w:rPr>
          <w:lang w:eastAsia="zh-CN"/>
        </w:rPr>
        <w:t>参选人须按要求进行报价，对参选报价负责。参选报价应加盖参选人印章，字迹清晰，否则视为无效。</w:t>
      </w:r>
    </w:p>
    <w:p>
      <w:pPr>
        <w:spacing w:before="15" w:line="360" w:lineRule="auto"/>
        <w:ind w:firstLine="534" w:firstLineChars="200"/>
        <w:rPr>
          <w:b/>
          <w:w w:val="95"/>
          <w:sz w:val="28"/>
          <w:lang w:eastAsia="zh-CN"/>
        </w:rPr>
      </w:pPr>
      <w:r>
        <w:rPr>
          <w:b/>
          <w:w w:val="95"/>
          <w:sz w:val="28"/>
          <w:lang w:eastAsia="zh-CN"/>
        </w:rPr>
        <w:t>四、特别说明</w:t>
      </w:r>
    </w:p>
    <w:p>
      <w:pPr>
        <w:pStyle w:val="25"/>
        <w:spacing w:line="360" w:lineRule="auto"/>
        <w:ind w:right="121" w:firstLine="480" w:firstLineChars="200"/>
        <w:jc w:val="both"/>
        <w:rPr>
          <w:lang w:eastAsia="zh-CN"/>
        </w:rPr>
      </w:pPr>
      <w:r>
        <w:rPr>
          <w:lang w:eastAsia="zh-CN"/>
        </w:rPr>
        <w:t>1.参选人应承担所有与准备和参加比选有关的费用。不论比选的结果如何，比选机构和比选人均无义务和责任承担这些费用。</w:t>
      </w:r>
    </w:p>
    <w:p>
      <w:pPr>
        <w:pStyle w:val="25"/>
        <w:spacing w:line="360" w:lineRule="auto"/>
        <w:ind w:right="121" w:firstLine="480" w:firstLineChars="200"/>
        <w:jc w:val="both"/>
        <w:rPr>
          <w:lang w:eastAsia="zh-CN"/>
        </w:rPr>
      </w:pPr>
      <w:r>
        <w:rPr>
          <w:lang w:eastAsia="zh-CN"/>
        </w:rPr>
        <w:t>2.参选收到比选文件后，如有疑问需澄清，请以书面形式在规定时间内报比选人汇总。</w:t>
      </w:r>
    </w:p>
    <w:p>
      <w:pPr>
        <w:pStyle w:val="25"/>
        <w:spacing w:line="360" w:lineRule="auto"/>
        <w:ind w:right="121" w:firstLine="480" w:firstLineChars="200"/>
        <w:jc w:val="both"/>
        <w:rPr>
          <w:b/>
          <w:bCs/>
          <w:sz w:val="28"/>
          <w:szCs w:val="28"/>
          <w:lang w:eastAsia="zh-CN"/>
        </w:rPr>
      </w:pPr>
      <w:r>
        <w:rPr>
          <w:lang w:eastAsia="zh-CN"/>
        </w:rPr>
        <w:t>3.参选人对比选人提供的比选文件所做出的推论、解释和结论，比选人概不负责。参选人由于对比选文件的任何推论和误解以及比选对有关问题的口头解释所造成的后果，均由参选人负责。</w:t>
      </w:r>
      <w:r>
        <w:rPr>
          <w:lang w:eastAsia="zh-CN"/>
        </w:rPr>
        <w:br w:type="page"/>
      </w:r>
    </w:p>
    <w:p>
      <w:pPr>
        <w:pStyle w:val="3"/>
        <w:tabs>
          <w:tab w:val="left" w:pos="1488"/>
        </w:tabs>
        <w:spacing w:line="355" w:lineRule="exact"/>
        <w:ind w:left="365"/>
        <w:jc w:val="center"/>
        <w:rPr>
          <w:lang w:eastAsia="zh-CN"/>
        </w:rPr>
      </w:pPr>
      <w:r>
        <w:rPr>
          <w:lang w:eastAsia="zh-CN"/>
        </w:rPr>
        <w:t>第四章</w:t>
      </w:r>
      <w:r>
        <w:rPr>
          <w:lang w:eastAsia="zh-CN"/>
        </w:rPr>
        <w:tab/>
      </w:r>
      <w:r>
        <w:rPr>
          <w:spacing w:val="-1"/>
          <w:w w:val="95"/>
          <w:lang w:eastAsia="zh-CN"/>
        </w:rPr>
        <w:t>评比规</w:t>
      </w:r>
      <w:r>
        <w:rPr>
          <w:w w:val="95"/>
          <w:lang w:eastAsia="zh-CN"/>
        </w:rPr>
        <w:t>则</w:t>
      </w:r>
    </w:p>
    <w:p>
      <w:pPr>
        <w:spacing w:before="15" w:line="360" w:lineRule="auto"/>
        <w:ind w:firstLine="401" w:firstLineChars="150"/>
        <w:rPr>
          <w:b/>
          <w:w w:val="95"/>
          <w:sz w:val="28"/>
          <w:lang w:eastAsia="zh-CN"/>
        </w:rPr>
      </w:pPr>
      <w:r>
        <w:rPr>
          <w:b/>
          <w:w w:val="95"/>
          <w:sz w:val="28"/>
          <w:lang w:eastAsia="zh-CN"/>
        </w:rPr>
        <w:t>一、规则</w:t>
      </w:r>
    </w:p>
    <w:p>
      <w:pPr>
        <w:pStyle w:val="25"/>
        <w:spacing w:line="360" w:lineRule="auto"/>
        <w:ind w:right="121" w:firstLine="480" w:firstLineChars="200"/>
        <w:jc w:val="both"/>
        <w:rPr>
          <w:lang w:eastAsia="zh-CN"/>
        </w:rPr>
      </w:pPr>
      <w:r>
        <w:rPr>
          <w:lang w:eastAsia="zh-CN"/>
        </w:rPr>
        <w:t>1.比选人在评选时，将</w:t>
      </w:r>
      <w:r>
        <w:rPr>
          <w:rFonts w:hint="eastAsia"/>
          <w:lang w:eastAsia="zh-CN"/>
        </w:rPr>
        <w:t>优先对技术参选文件进行评选评分，技术参选文件符合业主要求方可进行下一轮商务报价评选。</w:t>
      </w:r>
    </w:p>
    <w:p>
      <w:pPr>
        <w:pStyle w:val="25"/>
        <w:spacing w:line="360" w:lineRule="auto"/>
        <w:ind w:right="121" w:firstLine="480" w:firstLineChars="200"/>
        <w:jc w:val="both"/>
        <w:rPr>
          <w:lang w:eastAsia="zh-CN"/>
        </w:rPr>
      </w:pPr>
      <w:r>
        <w:rPr>
          <w:lang w:eastAsia="zh-CN"/>
        </w:rPr>
        <w:t>2.参选人串选、相互勾结故意压低标价以排挤竞争对手的公平竞争的，其参选无效。</w:t>
      </w:r>
    </w:p>
    <w:p>
      <w:pPr>
        <w:pStyle w:val="25"/>
        <w:spacing w:line="360" w:lineRule="auto"/>
        <w:ind w:right="121" w:firstLine="480" w:firstLineChars="200"/>
        <w:jc w:val="both"/>
        <w:rPr>
          <w:lang w:eastAsia="zh-CN"/>
        </w:rPr>
      </w:pPr>
      <w:r>
        <w:rPr>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r>
        <w:rPr>
          <w:rFonts w:hint="eastAsia"/>
          <w:spacing w:val="-22"/>
          <w:lang w:eastAsia="zh-CN"/>
        </w:rPr>
        <w:t>或重新组织比选</w:t>
      </w:r>
      <w:r>
        <w:rPr>
          <w:lang w:eastAsia="zh-CN"/>
        </w:rPr>
        <w:t>。</w:t>
      </w:r>
    </w:p>
    <w:p>
      <w:pPr>
        <w:spacing w:before="15" w:line="360" w:lineRule="auto"/>
        <w:ind w:firstLine="534" w:firstLineChars="200"/>
        <w:rPr>
          <w:b/>
          <w:w w:val="95"/>
          <w:sz w:val="28"/>
          <w:lang w:eastAsia="zh-CN"/>
        </w:rPr>
      </w:pPr>
      <w:r>
        <w:rPr>
          <w:b/>
          <w:w w:val="95"/>
          <w:sz w:val="28"/>
          <w:lang w:eastAsia="zh-CN"/>
        </w:rPr>
        <w:t>二、资格审查</w:t>
      </w:r>
    </w:p>
    <w:p>
      <w:pPr>
        <w:pStyle w:val="25"/>
        <w:spacing w:line="360" w:lineRule="auto"/>
        <w:ind w:right="121" w:firstLine="480" w:firstLineChars="20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pPr>
        <w:spacing w:before="15" w:line="360" w:lineRule="auto"/>
        <w:ind w:firstLine="534" w:firstLineChars="200"/>
        <w:rPr>
          <w:b/>
          <w:w w:val="95"/>
          <w:sz w:val="28"/>
          <w:lang w:eastAsia="zh-CN"/>
        </w:rPr>
      </w:pPr>
      <w:r>
        <w:rPr>
          <w:b/>
          <w:w w:val="95"/>
          <w:sz w:val="28"/>
          <w:lang w:eastAsia="zh-CN"/>
        </w:rPr>
        <w:t>三、评选办法</w:t>
      </w:r>
    </w:p>
    <w:p>
      <w:pPr>
        <w:pStyle w:val="25"/>
        <w:spacing w:line="360" w:lineRule="auto"/>
        <w:ind w:right="121" w:firstLine="482" w:firstLineChars="200"/>
        <w:jc w:val="both"/>
        <w:rPr>
          <w:lang w:eastAsia="zh-CN"/>
        </w:rPr>
      </w:pPr>
      <w:r>
        <w:rPr>
          <w:rFonts w:hint="eastAsia"/>
          <w:b/>
          <w:lang w:eastAsia="zh-CN"/>
        </w:rPr>
        <w:t>本项目设置含税包干总价最高控制价</w:t>
      </w:r>
      <w:r>
        <w:rPr>
          <w:b/>
          <w:lang w:eastAsia="zh-CN"/>
        </w:rPr>
        <w:t>RMB80万</w:t>
      </w:r>
      <w:r>
        <w:rPr>
          <w:rFonts w:hint="eastAsia"/>
          <w:b/>
          <w:lang w:eastAsia="zh-CN"/>
        </w:rPr>
        <w:t>元整(</w:t>
      </w:r>
      <w:r>
        <w:rPr>
          <w:b/>
          <w:lang w:eastAsia="zh-CN"/>
        </w:rPr>
        <w:t>含税</w:t>
      </w:r>
      <w:r>
        <w:rPr>
          <w:rFonts w:hint="eastAsia"/>
          <w:b/>
          <w:lang w:eastAsia="zh-CN"/>
        </w:rPr>
        <w:t>)。</w:t>
      </w:r>
      <w:r>
        <w:rPr>
          <w:rFonts w:hint="eastAsia"/>
          <w:lang w:eastAsia="zh-CN"/>
        </w:rPr>
        <w:t>参选人所填报的含税包干总价报价高于本项目最高限价的，其参选将被比选小组予以否决。</w:t>
      </w:r>
      <w:r>
        <w:fldChar w:fldCharType="begin"/>
      </w:r>
      <w:r>
        <w:instrText xml:space="preserve"> HYPERLINK "mailto:如参选人对控制价存疑请于报价截止前发邮件至hjzhang@fhcpec.com.cn" </w:instrText>
      </w:r>
      <w:r>
        <w:fldChar w:fldCharType="separate"/>
      </w:r>
      <w:r>
        <w:rPr>
          <w:rFonts w:hint="eastAsia"/>
          <w:lang w:eastAsia="zh-CN"/>
        </w:rPr>
        <w:t>如参选人对控制价存疑请于参选文件递交截止前</w:t>
      </w:r>
      <w:r>
        <w:rPr>
          <w:rFonts w:hint="eastAsia"/>
          <w:lang w:eastAsia="zh-CN"/>
        </w:rPr>
        <w:fldChar w:fldCharType="end"/>
      </w:r>
      <w:r>
        <w:rPr>
          <w:lang w:eastAsia="zh-CN"/>
        </w:rPr>
        <w:t>正式书面向比选人提出并进行交流澄清确认</w:t>
      </w:r>
      <w:r>
        <w:rPr>
          <w:rFonts w:hint="eastAsia"/>
          <w:lang w:eastAsia="zh-CN"/>
        </w:rPr>
        <w:t>。</w:t>
      </w:r>
    </w:p>
    <w:p>
      <w:pPr>
        <w:spacing w:before="15" w:line="360" w:lineRule="auto"/>
        <w:ind w:firstLine="482" w:firstLineChars="200"/>
        <w:rPr>
          <w:b/>
          <w:sz w:val="24"/>
          <w:szCs w:val="24"/>
          <w:lang w:eastAsia="zh-CN"/>
        </w:rPr>
      </w:pPr>
      <w:r>
        <w:rPr>
          <w:rFonts w:hint="eastAsia"/>
          <w:b/>
          <w:sz w:val="24"/>
          <w:szCs w:val="24"/>
          <w:lang w:eastAsia="zh-CN"/>
        </w:rPr>
        <w:t>本项目采用综合评选的评标办法，其中技术部分4</w:t>
      </w:r>
      <w:r>
        <w:rPr>
          <w:b/>
          <w:sz w:val="24"/>
          <w:szCs w:val="24"/>
          <w:lang w:eastAsia="zh-CN"/>
        </w:rPr>
        <w:t>0分</w:t>
      </w:r>
      <w:r>
        <w:rPr>
          <w:rFonts w:hint="eastAsia"/>
          <w:b/>
          <w:sz w:val="24"/>
          <w:szCs w:val="24"/>
          <w:lang w:eastAsia="zh-CN"/>
        </w:rPr>
        <w:t>，商务报价部分</w:t>
      </w:r>
      <w:r>
        <w:rPr>
          <w:b/>
          <w:sz w:val="24"/>
          <w:szCs w:val="24"/>
          <w:lang w:eastAsia="zh-CN"/>
        </w:rPr>
        <w:t>60分，综合总分</w:t>
      </w:r>
      <w:r>
        <w:rPr>
          <w:rFonts w:hint="eastAsia"/>
          <w:b/>
          <w:sz w:val="24"/>
          <w:szCs w:val="24"/>
          <w:lang w:eastAsia="zh-CN"/>
        </w:rPr>
        <w:t>1</w:t>
      </w:r>
      <w:r>
        <w:rPr>
          <w:b/>
          <w:sz w:val="24"/>
          <w:szCs w:val="24"/>
          <w:lang w:eastAsia="zh-CN"/>
        </w:rPr>
        <w:t>00分。</w:t>
      </w:r>
      <w:r>
        <w:rPr>
          <w:rFonts w:hint="eastAsia"/>
          <w:b/>
          <w:sz w:val="24"/>
          <w:szCs w:val="24"/>
          <w:lang w:eastAsia="zh-CN"/>
        </w:rPr>
        <w:t>经资格评选，资质合格的参选人首先进行技术部分评选，然后再进行报价部分计算得分，最后选择两部分综合得分之和最高者作为本案中选单位</w:t>
      </w:r>
      <w:r>
        <w:rPr>
          <w:b/>
          <w:sz w:val="24"/>
          <w:szCs w:val="24"/>
          <w:lang w:eastAsia="zh-CN"/>
        </w:rPr>
        <w:t>。</w:t>
      </w:r>
    </w:p>
    <w:p>
      <w:pPr>
        <w:pStyle w:val="25"/>
        <w:spacing w:before="210" w:line="357" w:lineRule="auto"/>
        <w:ind w:left="120" w:right="222" w:firstLine="520"/>
        <w:rPr>
          <w:b/>
          <w:spacing w:val="-11"/>
          <w:lang w:eastAsia="zh-CN"/>
        </w:rPr>
      </w:pPr>
      <w:r>
        <w:rPr>
          <w:rFonts w:hint="eastAsia"/>
          <w:b/>
          <w:spacing w:val="-11"/>
          <w:lang w:eastAsia="zh-CN"/>
        </w:rPr>
        <w:t>其中技术部分的具体评分标准如下表：</w:t>
      </w:r>
    </w:p>
    <w:p>
      <w:pPr>
        <w:pStyle w:val="25"/>
        <w:spacing w:before="210" w:line="357" w:lineRule="auto"/>
        <w:ind w:left="120" w:right="222" w:firstLine="520"/>
        <w:rPr>
          <w:b/>
          <w:spacing w:val="-11"/>
          <w:lang w:eastAsia="zh-CN"/>
        </w:rPr>
      </w:pPr>
    </w:p>
    <w:p>
      <w:pPr>
        <w:spacing w:line="460" w:lineRule="exact"/>
        <w:rPr>
          <w:b/>
          <w:bCs/>
          <w:sz w:val="24"/>
          <w:lang w:eastAsia="zh-CN"/>
        </w:rPr>
      </w:pPr>
      <w:r>
        <w:rPr>
          <w:rFonts w:hint="eastAsia"/>
          <w:b/>
          <w:bCs/>
          <w:sz w:val="24"/>
          <w:lang w:eastAsia="zh-CN"/>
        </w:rPr>
        <w:t>I、</w:t>
      </w:r>
      <w:r>
        <w:rPr>
          <w:b/>
          <w:bCs/>
          <w:sz w:val="24"/>
          <w:lang w:eastAsia="zh-CN"/>
        </w:rPr>
        <w:t>技术部分评分</w:t>
      </w:r>
      <w:r>
        <w:rPr>
          <w:rFonts w:hint="eastAsia"/>
          <w:b/>
          <w:bCs/>
          <w:sz w:val="24"/>
          <w:lang w:eastAsia="zh-CN"/>
        </w:rPr>
        <w:t>PT            满分40分</w:t>
      </w:r>
    </w:p>
    <w:p>
      <w:pPr>
        <w:snapToGrid w:val="0"/>
        <w:spacing w:line="360" w:lineRule="auto"/>
        <w:ind w:firstLine="648" w:firstLineChars="300"/>
        <w:rPr>
          <w:spacing w:val="-2"/>
          <w:szCs w:val="24"/>
          <w:lang w:eastAsia="zh-CN"/>
        </w:rPr>
      </w:pPr>
    </w:p>
    <w:tbl>
      <w:tblPr>
        <w:tblStyle w:val="60"/>
        <w:tblW w:w="8785" w:type="dxa"/>
        <w:jc w:val="center"/>
        <w:tblLayout w:type="fixed"/>
        <w:tblCellMar>
          <w:top w:w="0" w:type="dxa"/>
          <w:left w:w="108" w:type="dxa"/>
          <w:bottom w:w="0" w:type="dxa"/>
          <w:right w:w="108" w:type="dxa"/>
        </w:tblCellMar>
      </w:tblPr>
      <w:tblGrid>
        <w:gridCol w:w="553"/>
        <w:gridCol w:w="577"/>
        <w:gridCol w:w="1276"/>
        <w:gridCol w:w="456"/>
        <w:gridCol w:w="5923"/>
      </w:tblGrid>
      <w:tr>
        <w:tblPrEx>
          <w:tblCellMar>
            <w:top w:w="0" w:type="dxa"/>
            <w:left w:w="108" w:type="dxa"/>
            <w:bottom w:w="0" w:type="dxa"/>
            <w:right w:w="108" w:type="dxa"/>
          </w:tblCellMar>
        </w:tblPrEx>
        <w:trPr>
          <w:trHeight w:val="516" w:hRule="atLeast"/>
          <w:jc w:val="center"/>
        </w:trPr>
        <w:tc>
          <w:tcPr>
            <w:tcW w:w="5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rPr>
                <w:b/>
                <w:bCs/>
                <w:color w:val="000000"/>
                <w:sz w:val="21"/>
                <w:szCs w:val="21"/>
              </w:rPr>
            </w:pPr>
            <w:r>
              <w:rPr>
                <w:rFonts w:hint="eastAsia"/>
                <w:b/>
                <w:bCs/>
                <w:color w:val="000000"/>
                <w:sz w:val="21"/>
                <w:szCs w:val="21"/>
              </w:rPr>
              <w:t>序号</w:t>
            </w:r>
          </w:p>
        </w:tc>
        <w:tc>
          <w:tcPr>
            <w:tcW w:w="577"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tLeast"/>
              <w:rPr>
                <w:b/>
                <w:bCs/>
                <w:color w:val="000000"/>
                <w:sz w:val="21"/>
                <w:szCs w:val="21"/>
              </w:rPr>
            </w:pPr>
            <w:r>
              <w:rPr>
                <w:rFonts w:hint="eastAsia"/>
                <w:b/>
                <w:bCs/>
                <w:color w:val="000000"/>
                <w:sz w:val="21"/>
                <w:szCs w:val="21"/>
              </w:rPr>
              <w:t>　</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tLeast"/>
              <w:rPr>
                <w:b/>
                <w:bCs/>
                <w:color w:val="000000"/>
                <w:sz w:val="21"/>
                <w:szCs w:val="21"/>
              </w:rPr>
            </w:pPr>
            <w:r>
              <w:rPr>
                <w:rFonts w:hint="eastAsia"/>
                <w:b/>
                <w:bCs/>
                <w:color w:val="000000"/>
                <w:sz w:val="21"/>
                <w:szCs w:val="21"/>
              </w:rPr>
              <w:t>评审项目</w:t>
            </w:r>
          </w:p>
        </w:tc>
        <w:tc>
          <w:tcPr>
            <w:tcW w:w="45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tLeast"/>
              <w:rPr>
                <w:b/>
                <w:bCs/>
                <w:color w:val="000000"/>
                <w:sz w:val="21"/>
                <w:szCs w:val="21"/>
              </w:rPr>
            </w:pPr>
            <w:r>
              <w:rPr>
                <w:rFonts w:hint="eastAsia"/>
                <w:b/>
                <w:bCs/>
                <w:color w:val="000000"/>
                <w:sz w:val="21"/>
                <w:szCs w:val="21"/>
              </w:rPr>
              <w:t>分值</w:t>
            </w:r>
          </w:p>
        </w:tc>
        <w:tc>
          <w:tcPr>
            <w:tcW w:w="5923"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tLeast"/>
              <w:rPr>
                <w:b/>
                <w:bCs/>
                <w:color w:val="000000"/>
                <w:sz w:val="21"/>
                <w:szCs w:val="21"/>
              </w:rPr>
            </w:pPr>
            <w:r>
              <w:rPr>
                <w:rFonts w:hint="eastAsia"/>
                <w:b/>
                <w:bCs/>
                <w:color w:val="000000"/>
                <w:sz w:val="21"/>
                <w:szCs w:val="21"/>
              </w:rPr>
              <w:t>评分说明</w:t>
            </w:r>
          </w:p>
        </w:tc>
      </w:tr>
      <w:tr>
        <w:tblPrEx>
          <w:tblCellMar>
            <w:top w:w="0" w:type="dxa"/>
            <w:left w:w="108" w:type="dxa"/>
            <w:bottom w:w="0" w:type="dxa"/>
            <w:right w:w="108" w:type="dxa"/>
          </w:tblCellMar>
        </w:tblPrEx>
        <w:trPr>
          <w:trHeight w:val="706" w:hRule="atLeast"/>
          <w:jc w:val="center"/>
        </w:trPr>
        <w:tc>
          <w:tcPr>
            <w:tcW w:w="553" w:type="dxa"/>
            <w:vMerge w:val="restart"/>
            <w:tcBorders>
              <w:top w:val="nil"/>
              <w:left w:val="single" w:color="auto" w:sz="4" w:space="0"/>
              <w:right w:val="single" w:color="auto" w:sz="4" w:space="0"/>
            </w:tcBorders>
            <w:shd w:val="clear" w:color="auto" w:fill="auto"/>
            <w:vAlign w:val="center"/>
          </w:tcPr>
          <w:p>
            <w:pPr>
              <w:widowControl/>
              <w:spacing w:line="240" w:lineRule="atLeast"/>
              <w:rPr>
                <w:color w:val="000000"/>
                <w:sz w:val="21"/>
                <w:szCs w:val="21"/>
              </w:rPr>
            </w:pPr>
            <w:r>
              <w:rPr>
                <w:rFonts w:hint="eastAsia"/>
                <w:color w:val="000000"/>
                <w:sz w:val="21"/>
                <w:szCs w:val="21"/>
              </w:rPr>
              <w:t>1</w:t>
            </w:r>
          </w:p>
        </w:tc>
        <w:tc>
          <w:tcPr>
            <w:tcW w:w="577" w:type="dxa"/>
            <w:vMerge w:val="restart"/>
            <w:tcBorders>
              <w:top w:val="nil"/>
              <w:left w:val="single" w:color="auto" w:sz="4" w:space="0"/>
              <w:right w:val="single" w:color="auto" w:sz="4" w:space="0"/>
            </w:tcBorders>
            <w:shd w:val="clear" w:color="auto" w:fill="auto"/>
            <w:vAlign w:val="center"/>
          </w:tcPr>
          <w:p>
            <w:pPr>
              <w:spacing w:line="240" w:lineRule="atLeast"/>
              <w:rPr>
                <w:b/>
                <w:color w:val="000000"/>
                <w:sz w:val="21"/>
                <w:szCs w:val="21"/>
              </w:rPr>
            </w:pPr>
            <w:r>
              <w:rPr>
                <w:rFonts w:hint="eastAsia"/>
                <w:b/>
                <w:color w:val="000000"/>
                <w:sz w:val="21"/>
                <w:szCs w:val="21"/>
              </w:rPr>
              <w:t>技术标</w:t>
            </w:r>
          </w:p>
        </w:tc>
        <w:tc>
          <w:tcPr>
            <w:tcW w:w="1276" w:type="dxa"/>
            <w:tcBorders>
              <w:top w:val="nil"/>
              <w:left w:val="nil"/>
              <w:bottom w:val="single" w:color="auto" w:sz="4" w:space="0"/>
              <w:right w:val="single" w:color="auto" w:sz="4" w:space="0"/>
            </w:tcBorders>
            <w:shd w:val="clear" w:color="auto" w:fill="auto"/>
            <w:vAlign w:val="center"/>
          </w:tcPr>
          <w:p>
            <w:pPr>
              <w:spacing w:line="240" w:lineRule="atLeast"/>
              <w:textAlignment w:val="center"/>
              <w:rPr>
                <w:color w:val="000000"/>
                <w:sz w:val="21"/>
                <w:szCs w:val="21"/>
              </w:rPr>
            </w:pPr>
            <w:r>
              <w:rPr>
                <w:rFonts w:hint="eastAsia"/>
                <w:b/>
                <w:bCs/>
                <w:sz w:val="21"/>
                <w:szCs w:val="21"/>
                <w:lang w:val="zh-CN"/>
              </w:rPr>
              <w:t>综合实力</w:t>
            </w:r>
          </w:p>
        </w:tc>
        <w:tc>
          <w:tcPr>
            <w:tcW w:w="456" w:type="dxa"/>
            <w:tcBorders>
              <w:top w:val="nil"/>
              <w:left w:val="nil"/>
              <w:bottom w:val="single" w:color="auto" w:sz="4" w:space="0"/>
              <w:right w:val="single" w:color="auto" w:sz="4" w:space="0"/>
            </w:tcBorders>
            <w:shd w:val="clear" w:color="auto" w:fill="auto"/>
            <w:vAlign w:val="center"/>
          </w:tcPr>
          <w:p>
            <w:pPr>
              <w:spacing w:line="240" w:lineRule="atLeast"/>
              <w:jc w:val="center"/>
              <w:textAlignment w:val="center"/>
              <w:rPr>
                <w:color w:val="000000"/>
                <w:sz w:val="21"/>
                <w:szCs w:val="21"/>
              </w:rPr>
            </w:pPr>
            <w:r>
              <w:rPr>
                <w:rFonts w:hint="eastAsia"/>
                <w:color w:val="000000"/>
                <w:sz w:val="21"/>
                <w:szCs w:val="21"/>
              </w:rPr>
              <w:t>2</w:t>
            </w:r>
          </w:p>
        </w:tc>
        <w:tc>
          <w:tcPr>
            <w:tcW w:w="5923" w:type="dxa"/>
            <w:tcBorders>
              <w:top w:val="nil"/>
              <w:left w:val="nil"/>
              <w:bottom w:val="single" w:color="auto" w:sz="4" w:space="0"/>
              <w:right w:val="single" w:color="auto" w:sz="4" w:space="0"/>
            </w:tcBorders>
            <w:shd w:val="clear" w:color="auto" w:fill="auto"/>
            <w:vAlign w:val="center"/>
          </w:tcPr>
          <w:p>
            <w:pPr>
              <w:spacing w:line="240" w:lineRule="atLeast"/>
              <w:textAlignment w:val="center"/>
              <w:rPr>
                <w:color w:val="000000"/>
                <w:sz w:val="21"/>
                <w:szCs w:val="21"/>
                <w:lang w:eastAsia="zh-CN"/>
              </w:rPr>
            </w:pPr>
            <w:r>
              <w:rPr>
                <w:rFonts w:hint="eastAsia"/>
                <w:sz w:val="21"/>
                <w:szCs w:val="21"/>
                <w:lang w:eastAsia="zh-CN"/>
              </w:rPr>
              <w:t>企业概况、企业规模、企业优势、企业的专业性、企业资质、</w:t>
            </w:r>
            <w:r>
              <w:rPr>
                <w:rFonts w:cs="Arial"/>
                <w:sz w:val="21"/>
                <w:szCs w:val="21"/>
                <w:lang w:val="zh-CN" w:eastAsia="zh-CN"/>
              </w:rPr>
              <w:t>近3年</w:t>
            </w:r>
            <w:r>
              <w:rPr>
                <w:rFonts w:hint="eastAsia" w:cs="Arial"/>
                <w:sz w:val="21"/>
                <w:szCs w:val="21"/>
                <w:lang w:val="zh-CN" w:eastAsia="zh-CN"/>
              </w:rPr>
              <w:t>（</w:t>
            </w:r>
            <w:r>
              <w:rPr>
                <w:rFonts w:hint="eastAsia" w:cs="Arial"/>
                <w:sz w:val="21"/>
                <w:szCs w:val="21"/>
                <w:lang w:eastAsia="zh-CN"/>
              </w:rPr>
              <w:t>201</w:t>
            </w:r>
            <w:r>
              <w:rPr>
                <w:rFonts w:cs="Arial"/>
                <w:sz w:val="21"/>
                <w:szCs w:val="21"/>
                <w:lang w:eastAsia="zh-CN"/>
              </w:rPr>
              <w:t>9</w:t>
            </w:r>
            <w:r>
              <w:rPr>
                <w:rFonts w:hint="eastAsia" w:cs="Arial"/>
                <w:sz w:val="21"/>
                <w:szCs w:val="21"/>
                <w:lang w:eastAsia="zh-CN"/>
              </w:rPr>
              <w:t>年</w:t>
            </w:r>
            <w:r>
              <w:rPr>
                <w:rFonts w:hint="eastAsia"/>
                <w:sz w:val="21"/>
                <w:szCs w:val="21"/>
                <w:lang w:eastAsia="zh-CN"/>
              </w:rPr>
              <w:t>～</w:t>
            </w:r>
            <w:r>
              <w:rPr>
                <w:rFonts w:hint="eastAsia" w:cs="Arial"/>
                <w:sz w:val="21"/>
                <w:szCs w:val="21"/>
                <w:lang w:eastAsia="zh-CN"/>
              </w:rPr>
              <w:t>至今</w:t>
            </w:r>
            <w:r>
              <w:rPr>
                <w:rFonts w:hint="eastAsia" w:cs="Arial"/>
                <w:sz w:val="21"/>
                <w:szCs w:val="21"/>
                <w:lang w:val="zh-CN" w:eastAsia="zh-CN"/>
              </w:rPr>
              <w:t>）</w:t>
            </w:r>
            <w:r>
              <w:rPr>
                <w:rFonts w:cs="Arial"/>
                <w:sz w:val="21"/>
                <w:szCs w:val="21"/>
                <w:lang w:val="zh-CN" w:eastAsia="zh-CN"/>
              </w:rPr>
              <w:t>企业获</w:t>
            </w:r>
            <w:r>
              <w:rPr>
                <w:rFonts w:hint="eastAsia" w:cs="Arial"/>
                <w:sz w:val="21"/>
                <w:szCs w:val="21"/>
                <w:lang w:val="zh-CN" w:eastAsia="zh-CN"/>
              </w:rPr>
              <w:t>行政主管部门颁发的</w:t>
            </w:r>
            <w:r>
              <w:rPr>
                <w:rFonts w:cs="Arial"/>
                <w:sz w:val="21"/>
                <w:szCs w:val="21"/>
                <w:lang w:val="zh-CN" w:eastAsia="zh-CN"/>
              </w:rPr>
              <w:t>奖情况</w:t>
            </w:r>
            <w:r>
              <w:rPr>
                <w:rFonts w:hint="eastAsia"/>
                <w:sz w:val="21"/>
                <w:szCs w:val="21"/>
                <w:lang w:eastAsia="zh-CN"/>
              </w:rPr>
              <w:t>等方面情况，由评标组进行评议并在0-2分之间进行评分</w:t>
            </w:r>
            <w:r>
              <w:rPr>
                <w:sz w:val="21"/>
                <w:szCs w:val="21"/>
                <w:lang w:eastAsia="zh-CN"/>
              </w:rPr>
              <w:t>。</w:t>
            </w:r>
          </w:p>
        </w:tc>
      </w:tr>
      <w:tr>
        <w:tblPrEx>
          <w:tblCellMar>
            <w:top w:w="0" w:type="dxa"/>
            <w:left w:w="108" w:type="dxa"/>
            <w:bottom w:w="0" w:type="dxa"/>
            <w:right w:w="108" w:type="dxa"/>
          </w:tblCellMar>
        </w:tblPrEx>
        <w:trPr>
          <w:trHeight w:val="561" w:hRule="atLeast"/>
          <w:jc w:val="center"/>
        </w:trPr>
        <w:tc>
          <w:tcPr>
            <w:tcW w:w="553" w:type="dxa"/>
            <w:vMerge w:val="continue"/>
            <w:tcBorders>
              <w:left w:val="single" w:color="auto" w:sz="4" w:space="0"/>
              <w:right w:val="single" w:color="auto" w:sz="4" w:space="0"/>
            </w:tcBorders>
            <w:vAlign w:val="center"/>
          </w:tcPr>
          <w:p>
            <w:pPr>
              <w:widowControl/>
              <w:spacing w:line="240" w:lineRule="atLeast"/>
              <w:rPr>
                <w:color w:val="000000"/>
                <w:sz w:val="21"/>
                <w:szCs w:val="21"/>
                <w:lang w:eastAsia="zh-CN"/>
              </w:rPr>
            </w:pPr>
          </w:p>
        </w:tc>
        <w:tc>
          <w:tcPr>
            <w:tcW w:w="577" w:type="dxa"/>
            <w:vMerge w:val="continue"/>
            <w:tcBorders>
              <w:left w:val="single" w:color="auto" w:sz="4" w:space="0"/>
              <w:right w:val="single" w:color="auto" w:sz="4" w:space="0"/>
            </w:tcBorders>
            <w:vAlign w:val="center"/>
          </w:tcPr>
          <w:p>
            <w:pPr>
              <w:spacing w:line="240" w:lineRule="atLeast"/>
              <w:rPr>
                <w:color w:val="000000"/>
                <w:sz w:val="21"/>
                <w:szCs w:val="21"/>
                <w:lang w:eastAsia="zh-CN"/>
              </w:rPr>
            </w:pPr>
          </w:p>
        </w:tc>
        <w:tc>
          <w:tcPr>
            <w:tcW w:w="1276" w:type="dxa"/>
            <w:tcBorders>
              <w:top w:val="single" w:color="auto" w:sz="4" w:space="0"/>
              <w:left w:val="nil"/>
              <w:right w:val="single" w:color="auto" w:sz="4" w:space="0"/>
            </w:tcBorders>
            <w:shd w:val="clear" w:color="auto" w:fill="auto"/>
            <w:vAlign w:val="center"/>
          </w:tcPr>
          <w:p>
            <w:pPr>
              <w:spacing w:line="240" w:lineRule="atLeast"/>
              <w:textAlignment w:val="center"/>
              <w:rPr>
                <w:color w:val="000000"/>
                <w:sz w:val="21"/>
                <w:szCs w:val="21"/>
              </w:rPr>
            </w:pPr>
            <w:r>
              <w:rPr>
                <w:rFonts w:cs="Arial"/>
                <w:b/>
                <w:bCs/>
                <w:sz w:val="21"/>
                <w:szCs w:val="21"/>
                <w:lang w:val="zh-CN"/>
              </w:rPr>
              <w:t>信誉、财务状况</w:t>
            </w:r>
          </w:p>
        </w:tc>
        <w:tc>
          <w:tcPr>
            <w:tcW w:w="456" w:type="dxa"/>
            <w:tcBorders>
              <w:top w:val="single" w:color="auto" w:sz="4" w:space="0"/>
              <w:left w:val="nil"/>
              <w:right w:val="single" w:color="auto" w:sz="4" w:space="0"/>
            </w:tcBorders>
            <w:shd w:val="clear" w:color="auto" w:fill="auto"/>
            <w:vAlign w:val="center"/>
          </w:tcPr>
          <w:p>
            <w:pPr>
              <w:spacing w:line="240" w:lineRule="atLeast"/>
              <w:jc w:val="center"/>
              <w:textAlignment w:val="center"/>
              <w:rPr>
                <w:color w:val="000000"/>
                <w:sz w:val="21"/>
                <w:szCs w:val="21"/>
              </w:rPr>
            </w:pPr>
            <w:r>
              <w:rPr>
                <w:rFonts w:hint="eastAsia"/>
                <w:color w:val="000000"/>
                <w:sz w:val="21"/>
                <w:szCs w:val="21"/>
              </w:rPr>
              <w:t>2</w:t>
            </w:r>
          </w:p>
        </w:tc>
        <w:tc>
          <w:tcPr>
            <w:tcW w:w="5923" w:type="dxa"/>
            <w:tcBorders>
              <w:top w:val="single" w:color="auto" w:sz="4" w:space="0"/>
              <w:left w:val="nil"/>
              <w:right w:val="single" w:color="auto" w:sz="4" w:space="0"/>
            </w:tcBorders>
            <w:shd w:val="clear" w:color="auto" w:fill="auto"/>
            <w:vAlign w:val="center"/>
          </w:tcPr>
          <w:p>
            <w:pPr>
              <w:spacing w:line="240" w:lineRule="atLeast"/>
              <w:rPr>
                <w:color w:val="000000"/>
                <w:sz w:val="21"/>
                <w:szCs w:val="21"/>
                <w:lang w:eastAsia="zh-CN"/>
              </w:rPr>
            </w:pPr>
            <w:r>
              <w:rPr>
                <w:rFonts w:hint="eastAsia"/>
                <w:sz w:val="21"/>
                <w:szCs w:val="21"/>
                <w:lang w:eastAsia="zh-CN"/>
              </w:rPr>
              <w:t>近3年（2019年～2021年）财务报表状况、银行资信、</w:t>
            </w:r>
            <w:r>
              <w:rPr>
                <w:rFonts w:cs="Arial"/>
                <w:sz w:val="21"/>
                <w:szCs w:val="21"/>
                <w:lang w:val="zh-CN" w:eastAsia="zh-CN"/>
              </w:rPr>
              <w:t>企业信誉（主要是履约信誉）</w:t>
            </w:r>
            <w:r>
              <w:rPr>
                <w:rFonts w:hint="eastAsia"/>
                <w:sz w:val="21"/>
                <w:szCs w:val="21"/>
                <w:lang w:eastAsia="zh-CN"/>
              </w:rPr>
              <w:t>等方面情况，由评标组进行评议并在0-2分之间进行评分。</w:t>
            </w:r>
          </w:p>
        </w:tc>
      </w:tr>
      <w:tr>
        <w:tblPrEx>
          <w:tblCellMar>
            <w:top w:w="0" w:type="dxa"/>
            <w:left w:w="108" w:type="dxa"/>
            <w:bottom w:w="0" w:type="dxa"/>
            <w:right w:w="108" w:type="dxa"/>
          </w:tblCellMar>
        </w:tblPrEx>
        <w:trPr>
          <w:trHeight w:val="562" w:hRule="atLeast"/>
          <w:jc w:val="center"/>
        </w:trPr>
        <w:tc>
          <w:tcPr>
            <w:tcW w:w="553" w:type="dxa"/>
            <w:vMerge w:val="continue"/>
            <w:tcBorders>
              <w:left w:val="single" w:color="auto" w:sz="4" w:space="0"/>
              <w:right w:val="single" w:color="auto" w:sz="4" w:space="0"/>
            </w:tcBorders>
            <w:shd w:val="clear" w:color="auto" w:fill="auto"/>
            <w:vAlign w:val="center"/>
          </w:tcPr>
          <w:p>
            <w:pPr>
              <w:widowControl/>
              <w:spacing w:line="240" w:lineRule="atLeast"/>
              <w:rPr>
                <w:color w:val="000000"/>
                <w:sz w:val="21"/>
                <w:szCs w:val="21"/>
                <w:lang w:eastAsia="zh-CN"/>
              </w:rPr>
            </w:pPr>
          </w:p>
        </w:tc>
        <w:tc>
          <w:tcPr>
            <w:tcW w:w="577" w:type="dxa"/>
            <w:vMerge w:val="continue"/>
            <w:tcBorders>
              <w:left w:val="single" w:color="auto" w:sz="4" w:space="0"/>
              <w:right w:val="single" w:color="auto" w:sz="4" w:space="0"/>
            </w:tcBorders>
            <w:shd w:val="clear" w:color="auto" w:fill="auto"/>
            <w:vAlign w:val="center"/>
          </w:tcPr>
          <w:p>
            <w:pPr>
              <w:widowControl/>
              <w:spacing w:line="240" w:lineRule="atLeast"/>
              <w:rPr>
                <w:color w:val="000000"/>
                <w:sz w:val="21"/>
                <w:szCs w:val="21"/>
                <w:lang w:eastAsia="zh-CN"/>
              </w:rPr>
            </w:pPr>
          </w:p>
        </w:tc>
        <w:tc>
          <w:tcPr>
            <w:tcW w:w="1276" w:type="dxa"/>
            <w:tcBorders>
              <w:top w:val="single" w:color="auto" w:sz="4" w:space="0"/>
              <w:left w:val="nil"/>
              <w:right w:val="single" w:color="auto" w:sz="4" w:space="0"/>
            </w:tcBorders>
            <w:shd w:val="clear" w:color="auto" w:fill="auto"/>
            <w:vAlign w:val="center"/>
          </w:tcPr>
          <w:p>
            <w:pPr>
              <w:widowControl/>
              <w:spacing w:line="240" w:lineRule="atLeast"/>
              <w:textAlignment w:val="center"/>
              <w:rPr>
                <w:color w:val="000000"/>
                <w:sz w:val="21"/>
                <w:szCs w:val="21"/>
              </w:rPr>
            </w:pPr>
            <w:r>
              <w:rPr>
                <w:rFonts w:hint="eastAsia"/>
                <w:b/>
                <w:bCs/>
                <w:sz w:val="21"/>
                <w:szCs w:val="21"/>
              </w:rPr>
              <w:t>类似项目业绩</w:t>
            </w:r>
          </w:p>
        </w:tc>
        <w:tc>
          <w:tcPr>
            <w:tcW w:w="456" w:type="dxa"/>
            <w:tcBorders>
              <w:top w:val="single" w:color="auto" w:sz="4" w:space="0"/>
              <w:left w:val="nil"/>
              <w:right w:val="single" w:color="auto" w:sz="4" w:space="0"/>
            </w:tcBorders>
            <w:shd w:val="clear" w:color="auto" w:fill="auto"/>
            <w:vAlign w:val="center"/>
          </w:tcPr>
          <w:p>
            <w:pPr>
              <w:widowControl/>
              <w:spacing w:line="240" w:lineRule="atLeast"/>
              <w:jc w:val="center"/>
              <w:textAlignment w:val="center"/>
              <w:rPr>
                <w:color w:val="000000"/>
                <w:sz w:val="21"/>
                <w:szCs w:val="21"/>
              </w:rPr>
            </w:pPr>
            <w:r>
              <w:rPr>
                <w:rFonts w:hint="eastAsia"/>
                <w:color w:val="000000"/>
                <w:sz w:val="21"/>
                <w:szCs w:val="21"/>
              </w:rPr>
              <w:t>6</w:t>
            </w:r>
          </w:p>
        </w:tc>
        <w:tc>
          <w:tcPr>
            <w:tcW w:w="5923" w:type="dxa"/>
            <w:tcBorders>
              <w:top w:val="single" w:color="auto" w:sz="4" w:space="0"/>
              <w:left w:val="nil"/>
              <w:right w:val="single" w:color="auto" w:sz="4" w:space="0"/>
            </w:tcBorders>
            <w:shd w:val="clear" w:color="auto" w:fill="auto"/>
            <w:vAlign w:val="center"/>
          </w:tcPr>
          <w:p>
            <w:pPr>
              <w:tabs>
                <w:tab w:val="left" w:pos="825"/>
              </w:tabs>
              <w:spacing w:line="240" w:lineRule="atLeast"/>
              <w:rPr>
                <w:sz w:val="21"/>
                <w:szCs w:val="21"/>
                <w:lang w:eastAsia="zh-CN"/>
              </w:rPr>
            </w:pPr>
            <w:r>
              <w:rPr>
                <w:rFonts w:hint="eastAsia"/>
                <w:sz w:val="21"/>
                <w:szCs w:val="21"/>
                <w:lang w:eastAsia="zh-CN"/>
              </w:rPr>
              <w:t>a.根据投标人自本招标项目在法定媒介发布招标公告之日的前五年内（不含在法定媒介发布招标公告之日）承揽过的类似业绩情况，从装置规模、合同金额、业绩数量等方面进行综合评定，并在0-4分之间进行评分。</w:t>
            </w:r>
          </w:p>
          <w:p>
            <w:pPr>
              <w:tabs>
                <w:tab w:val="left" w:pos="825"/>
              </w:tabs>
              <w:spacing w:line="240" w:lineRule="atLeast"/>
              <w:rPr>
                <w:rStyle w:val="225"/>
                <w:rFonts w:hint="default"/>
                <w:bCs/>
                <w:sz w:val="21"/>
                <w:szCs w:val="21"/>
                <w:lang w:eastAsia="zh-CN"/>
              </w:rPr>
            </w:pPr>
            <w:r>
              <w:rPr>
                <w:rFonts w:hint="eastAsia"/>
                <w:sz w:val="21"/>
                <w:szCs w:val="21"/>
                <w:lang w:eastAsia="zh-CN"/>
              </w:rPr>
              <w:t>b.根据投标人拟派本项目经理曾作为项目经理自本招标项目在法定媒介发布招标公告之日的前五年内（不含在法定媒介发布招标公告之日），承揽过类似业绩（设计</w:t>
            </w:r>
            <w:r>
              <w:rPr>
                <w:sz w:val="21"/>
                <w:szCs w:val="21"/>
                <w:lang w:eastAsia="zh-CN"/>
              </w:rPr>
              <w:t>或改造</w:t>
            </w:r>
            <w:r>
              <w:rPr>
                <w:rFonts w:hint="eastAsia"/>
                <w:sz w:val="21"/>
                <w:szCs w:val="21"/>
                <w:lang w:eastAsia="zh-CN"/>
              </w:rPr>
              <w:t>）情况，从装置规模、合同金额、业绩数量等方面进行综合评定，并在0-2分之间进行评分。</w:t>
            </w:r>
          </w:p>
        </w:tc>
      </w:tr>
      <w:tr>
        <w:tblPrEx>
          <w:tblCellMar>
            <w:top w:w="0" w:type="dxa"/>
            <w:left w:w="108" w:type="dxa"/>
            <w:bottom w:w="0" w:type="dxa"/>
            <w:right w:w="108" w:type="dxa"/>
          </w:tblCellMar>
        </w:tblPrEx>
        <w:trPr>
          <w:trHeight w:val="562" w:hRule="atLeast"/>
          <w:jc w:val="center"/>
        </w:trPr>
        <w:tc>
          <w:tcPr>
            <w:tcW w:w="553" w:type="dxa"/>
            <w:tcBorders>
              <w:left w:val="single" w:color="auto" w:sz="4" w:space="0"/>
              <w:right w:val="single" w:color="auto" w:sz="4" w:space="0"/>
            </w:tcBorders>
            <w:shd w:val="clear" w:color="auto" w:fill="auto"/>
            <w:vAlign w:val="center"/>
          </w:tcPr>
          <w:p>
            <w:pPr>
              <w:widowControl/>
              <w:spacing w:line="240" w:lineRule="atLeast"/>
              <w:rPr>
                <w:color w:val="000000"/>
                <w:sz w:val="21"/>
                <w:szCs w:val="21"/>
                <w:lang w:eastAsia="zh-CN"/>
              </w:rPr>
            </w:pPr>
          </w:p>
        </w:tc>
        <w:tc>
          <w:tcPr>
            <w:tcW w:w="577" w:type="dxa"/>
            <w:tcBorders>
              <w:left w:val="single" w:color="auto" w:sz="4" w:space="0"/>
              <w:right w:val="single" w:color="auto" w:sz="4" w:space="0"/>
            </w:tcBorders>
            <w:shd w:val="clear" w:color="auto" w:fill="auto"/>
            <w:vAlign w:val="center"/>
          </w:tcPr>
          <w:p>
            <w:pPr>
              <w:widowControl/>
              <w:spacing w:line="240" w:lineRule="atLeast"/>
              <w:rPr>
                <w:color w:val="000000"/>
                <w:sz w:val="21"/>
                <w:szCs w:val="21"/>
                <w:lang w:eastAsia="zh-CN"/>
              </w:rPr>
            </w:pPr>
          </w:p>
        </w:tc>
        <w:tc>
          <w:tcPr>
            <w:tcW w:w="1276" w:type="dxa"/>
            <w:tcBorders>
              <w:top w:val="single" w:color="auto" w:sz="4" w:space="0"/>
              <w:left w:val="nil"/>
              <w:right w:val="single" w:color="auto" w:sz="4" w:space="0"/>
            </w:tcBorders>
            <w:shd w:val="clear" w:color="auto" w:fill="auto"/>
            <w:vAlign w:val="center"/>
          </w:tcPr>
          <w:p>
            <w:pPr>
              <w:widowControl/>
              <w:spacing w:line="240" w:lineRule="atLeast"/>
              <w:textAlignment w:val="center"/>
              <w:rPr>
                <w:sz w:val="21"/>
                <w:szCs w:val="21"/>
              </w:rPr>
            </w:pPr>
            <w:r>
              <w:rPr>
                <w:rFonts w:hint="eastAsia"/>
                <w:b/>
                <w:bCs/>
                <w:sz w:val="21"/>
                <w:szCs w:val="21"/>
              </w:rPr>
              <w:t>检修</w:t>
            </w:r>
            <w:r>
              <w:rPr>
                <w:rFonts w:hint="eastAsia" w:cs="Arial"/>
                <w:b/>
                <w:bCs/>
                <w:sz w:val="21"/>
                <w:szCs w:val="21"/>
              </w:rPr>
              <w:t>方案</w:t>
            </w:r>
          </w:p>
        </w:tc>
        <w:tc>
          <w:tcPr>
            <w:tcW w:w="456" w:type="dxa"/>
            <w:tcBorders>
              <w:top w:val="single" w:color="auto" w:sz="4" w:space="0"/>
              <w:left w:val="nil"/>
              <w:right w:val="single" w:color="auto" w:sz="4" w:space="0"/>
            </w:tcBorders>
            <w:shd w:val="clear" w:color="auto" w:fill="auto"/>
            <w:vAlign w:val="center"/>
          </w:tcPr>
          <w:p>
            <w:pPr>
              <w:widowControl/>
              <w:spacing w:line="240" w:lineRule="atLeast"/>
              <w:jc w:val="center"/>
              <w:textAlignment w:val="center"/>
              <w:rPr>
                <w:color w:val="000000"/>
                <w:sz w:val="21"/>
                <w:szCs w:val="21"/>
              </w:rPr>
            </w:pPr>
            <w:r>
              <w:rPr>
                <w:rFonts w:hint="eastAsia"/>
                <w:color w:val="000000"/>
                <w:sz w:val="21"/>
                <w:szCs w:val="21"/>
              </w:rPr>
              <w:t>1</w:t>
            </w:r>
            <w:r>
              <w:rPr>
                <w:color w:val="000000"/>
                <w:sz w:val="21"/>
                <w:szCs w:val="21"/>
              </w:rPr>
              <w:t>5</w:t>
            </w:r>
          </w:p>
        </w:tc>
        <w:tc>
          <w:tcPr>
            <w:tcW w:w="5923" w:type="dxa"/>
            <w:tcBorders>
              <w:top w:val="single" w:color="auto" w:sz="4" w:space="0"/>
              <w:left w:val="nil"/>
              <w:right w:val="single" w:color="auto" w:sz="4" w:space="0"/>
            </w:tcBorders>
            <w:shd w:val="clear" w:color="auto" w:fill="auto"/>
            <w:vAlign w:val="center"/>
          </w:tcPr>
          <w:p>
            <w:pPr>
              <w:spacing w:line="240" w:lineRule="atLeast"/>
              <w:rPr>
                <w:sz w:val="21"/>
                <w:szCs w:val="21"/>
                <w:lang w:eastAsia="zh-CN"/>
              </w:rPr>
            </w:pPr>
            <w:r>
              <w:rPr>
                <w:bCs/>
                <w:sz w:val="21"/>
                <w:szCs w:val="21"/>
              </w:rPr>
              <w:fldChar w:fldCharType="begin"/>
            </w:r>
            <w:r>
              <w:rPr>
                <w:bCs/>
                <w:sz w:val="21"/>
                <w:szCs w:val="21"/>
                <w:lang w:eastAsia="zh-CN"/>
              </w:rPr>
              <w:instrText xml:space="preserve"> </w:instrText>
            </w:r>
            <w:r>
              <w:rPr>
                <w:rFonts w:hint="eastAsia"/>
                <w:bCs/>
                <w:sz w:val="21"/>
                <w:szCs w:val="21"/>
                <w:lang w:eastAsia="zh-CN"/>
              </w:rPr>
              <w:instrText xml:space="preserve">= 1 \* GB3</w:instrText>
            </w:r>
            <w:r>
              <w:rPr>
                <w:bCs/>
                <w:sz w:val="21"/>
                <w:szCs w:val="21"/>
                <w:lang w:eastAsia="zh-CN"/>
              </w:rPr>
              <w:instrText xml:space="preserve"> </w:instrText>
            </w:r>
            <w:r>
              <w:rPr>
                <w:bCs/>
                <w:sz w:val="21"/>
                <w:szCs w:val="21"/>
              </w:rPr>
              <w:fldChar w:fldCharType="separate"/>
            </w:r>
            <w:r>
              <w:rPr>
                <w:rFonts w:hint="eastAsia"/>
                <w:bCs/>
                <w:sz w:val="21"/>
                <w:szCs w:val="21"/>
                <w:lang w:eastAsia="zh-CN"/>
              </w:rPr>
              <w:t>①</w:t>
            </w:r>
            <w:r>
              <w:rPr>
                <w:bCs/>
                <w:sz w:val="21"/>
                <w:szCs w:val="21"/>
              </w:rPr>
              <w:fldChar w:fldCharType="end"/>
            </w:r>
            <w:r>
              <w:rPr>
                <w:rFonts w:hint="eastAsia"/>
                <w:sz w:val="21"/>
                <w:szCs w:val="21"/>
                <w:lang w:eastAsia="zh-CN"/>
              </w:rPr>
              <w:t>结合本招标项目情况对火检风源管</w:t>
            </w:r>
            <w:r>
              <w:rPr>
                <w:sz w:val="21"/>
                <w:szCs w:val="21"/>
                <w:lang w:eastAsia="zh-CN"/>
              </w:rPr>
              <w:t>改造</w:t>
            </w:r>
            <w:r>
              <w:rPr>
                <w:rFonts w:hint="eastAsia"/>
                <w:sz w:val="21"/>
                <w:szCs w:val="21"/>
                <w:lang w:eastAsia="zh-CN"/>
              </w:rPr>
              <w:t>项目重点难点进行分析说明。分析说明内容全面完整准确的，得</w:t>
            </w:r>
            <w:r>
              <w:rPr>
                <w:sz w:val="21"/>
                <w:szCs w:val="21"/>
                <w:lang w:eastAsia="zh-CN"/>
              </w:rPr>
              <w:t>7</w:t>
            </w:r>
            <w:r>
              <w:rPr>
                <w:rFonts w:hint="eastAsia"/>
                <w:sz w:val="21"/>
                <w:szCs w:val="21"/>
                <w:lang w:eastAsia="zh-CN"/>
              </w:rPr>
              <w:t>分；分析说明内容较为全面较准确的，得</w:t>
            </w:r>
            <w:r>
              <w:rPr>
                <w:sz w:val="21"/>
                <w:szCs w:val="21"/>
                <w:lang w:eastAsia="zh-CN"/>
              </w:rPr>
              <w:t>4</w:t>
            </w:r>
            <w:r>
              <w:rPr>
                <w:rFonts w:hint="eastAsia"/>
                <w:sz w:val="21"/>
                <w:szCs w:val="21"/>
                <w:lang w:eastAsia="zh-CN"/>
              </w:rPr>
              <w:t>分；分析说明内容较为一般的，得</w:t>
            </w:r>
            <w:r>
              <w:rPr>
                <w:sz w:val="21"/>
                <w:szCs w:val="21"/>
                <w:lang w:eastAsia="zh-CN"/>
              </w:rPr>
              <w:t>2</w:t>
            </w:r>
            <w:r>
              <w:rPr>
                <w:rFonts w:hint="eastAsia"/>
                <w:sz w:val="21"/>
                <w:szCs w:val="21"/>
                <w:lang w:eastAsia="zh-CN"/>
              </w:rPr>
              <w:t>分；未进行分析说明的，得0分。</w:t>
            </w:r>
          </w:p>
          <w:p>
            <w:pPr>
              <w:spacing w:line="240" w:lineRule="atLeast"/>
              <w:rPr>
                <w:sz w:val="21"/>
                <w:szCs w:val="21"/>
                <w:lang w:eastAsia="zh-CN"/>
              </w:rPr>
            </w:pPr>
            <w:r>
              <w:rPr>
                <w:bCs/>
                <w:sz w:val="21"/>
                <w:szCs w:val="21"/>
              </w:rPr>
              <w:fldChar w:fldCharType="begin"/>
            </w:r>
            <w:r>
              <w:rPr>
                <w:bCs/>
                <w:sz w:val="21"/>
                <w:szCs w:val="21"/>
                <w:lang w:eastAsia="zh-CN"/>
              </w:rPr>
              <w:instrText xml:space="preserve"> </w:instrText>
            </w:r>
            <w:r>
              <w:rPr>
                <w:rFonts w:hint="eastAsia"/>
                <w:bCs/>
                <w:sz w:val="21"/>
                <w:szCs w:val="21"/>
                <w:lang w:eastAsia="zh-CN"/>
              </w:rPr>
              <w:instrText xml:space="preserve">= 2 \* GB3</w:instrText>
            </w:r>
            <w:r>
              <w:rPr>
                <w:bCs/>
                <w:sz w:val="21"/>
                <w:szCs w:val="21"/>
                <w:lang w:eastAsia="zh-CN"/>
              </w:rPr>
              <w:instrText xml:space="preserve"> </w:instrText>
            </w:r>
            <w:r>
              <w:rPr>
                <w:bCs/>
                <w:sz w:val="21"/>
                <w:szCs w:val="21"/>
              </w:rPr>
              <w:fldChar w:fldCharType="separate"/>
            </w:r>
            <w:r>
              <w:rPr>
                <w:rFonts w:hint="eastAsia"/>
                <w:bCs/>
                <w:sz w:val="21"/>
                <w:szCs w:val="21"/>
                <w:lang w:eastAsia="zh-CN"/>
              </w:rPr>
              <w:t>②</w:t>
            </w:r>
            <w:r>
              <w:rPr>
                <w:bCs/>
                <w:sz w:val="21"/>
                <w:szCs w:val="21"/>
              </w:rPr>
              <w:fldChar w:fldCharType="end"/>
            </w:r>
            <w:r>
              <w:rPr>
                <w:rFonts w:hint="eastAsia"/>
                <w:sz w:val="21"/>
                <w:szCs w:val="21"/>
                <w:lang w:eastAsia="zh-CN"/>
              </w:rPr>
              <w:t>根据投标人提供的本项目改造方案清晰完整度、保证措施标准具体程度、可执行可操作性，优的得4-5分，良好得3-4分，一般得2-3分，差得1-2分，未进行叙述的，得0分。</w:t>
            </w:r>
          </w:p>
          <w:p>
            <w:pPr>
              <w:spacing w:line="240" w:lineRule="atLeast"/>
              <w:rPr>
                <w:sz w:val="21"/>
                <w:szCs w:val="21"/>
                <w:lang w:eastAsia="zh-CN"/>
              </w:rPr>
            </w:pPr>
            <w:r>
              <w:rPr>
                <w:bCs/>
                <w:sz w:val="21"/>
                <w:szCs w:val="21"/>
              </w:rPr>
              <w:fldChar w:fldCharType="begin"/>
            </w:r>
            <w:r>
              <w:rPr>
                <w:bCs/>
                <w:sz w:val="21"/>
                <w:szCs w:val="21"/>
                <w:lang w:eastAsia="zh-CN"/>
              </w:rPr>
              <w:instrText xml:space="preserve"> </w:instrText>
            </w:r>
            <w:r>
              <w:rPr>
                <w:rFonts w:hint="eastAsia"/>
                <w:bCs/>
                <w:sz w:val="21"/>
                <w:szCs w:val="21"/>
                <w:lang w:eastAsia="zh-CN"/>
              </w:rPr>
              <w:instrText xml:space="preserve">= 3 \* GB3</w:instrText>
            </w:r>
            <w:r>
              <w:rPr>
                <w:bCs/>
                <w:sz w:val="21"/>
                <w:szCs w:val="21"/>
                <w:lang w:eastAsia="zh-CN"/>
              </w:rPr>
              <w:instrText xml:space="preserve"> </w:instrText>
            </w:r>
            <w:r>
              <w:rPr>
                <w:bCs/>
                <w:sz w:val="21"/>
                <w:szCs w:val="21"/>
              </w:rPr>
              <w:fldChar w:fldCharType="separate"/>
            </w:r>
            <w:r>
              <w:rPr>
                <w:rFonts w:hint="eastAsia"/>
                <w:bCs/>
                <w:sz w:val="21"/>
                <w:szCs w:val="21"/>
                <w:lang w:eastAsia="zh-CN"/>
              </w:rPr>
              <w:t>③</w:t>
            </w:r>
            <w:r>
              <w:rPr>
                <w:bCs/>
                <w:sz w:val="21"/>
                <w:szCs w:val="21"/>
              </w:rPr>
              <w:fldChar w:fldCharType="end"/>
            </w:r>
            <w:r>
              <w:rPr>
                <w:rFonts w:hint="eastAsia"/>
                <w:sz w:val="21"/>
                <w:szCs w:val="21"/>
                <w:lang w:eastAsia="zh-CN"/>
              </w:rPr>
              <w:t>投标人根据自身经验针对本招标项目提出的可行性建议及优化方案，根据可行性建议及优化方案的合理性及可行性在1-2分之间评分；若提出的方案确实为优化方案且承诺优化部分的价格包含在投标总价中的，另加1分。</w:t>
            </w:r>
          </w:p>
        </w:tc>
      </w:tr>
      <w:tr>
        <w:tblPrEx>
          <w:tblCellMar>
            <w:top w:w="0" w:type="dxa"/>
            <w:left w:w="108" w:type="dxa"/>
            <w:bottom w:w="0" w:type="dxa"/>
            <w:right w:w="108" w:type="dxa"/>
          </w:tblCellMar>
        </w:tblPrEx>
        <w:trPr>
          <w:trHeight w:val="562" w:hRule="atLeast"/>
          <w:jc w:val="center"/>
        </w:trPr>
        <w:tc>
          <w:tcPr>
            <w:tcW w:w="553" w:type="dxa"/>
            <w:tcBorders>
              <w:left w:val="single" w:color="auto" w:sz="4" w:space="0"/>
              <w:right w:val="single" w:color="auto" w:sz="4" w:space="0"/>
            </w:tcBorders>
            <w:shd w:val="clear" w:color="auto" w:fill="auto"/>
            <w:vAlign w:val="center"/>
          </w:tcPr>
          <w:p>
            <w:pPr>
              <w:widowControl/>
              <w:spacing w:line="240" w:lineRule="atLeast"/>
              <w:rPr>
                <w:color w:val="000000"/>
                <w:sz w:val="21"/>
                <w:szCs w:val="21"/>
                <w:lang w:eastAsia="zh-CN"/>
              </w:rPr>
            </w:pPr>
          </w:p>
        </w:tc>
        <w:tc>
          <w:tcPr>
            <w:tcW w:w="577" w:type="dxa"/>
            <w:tcBorders>
              <w:left w:val="single" w:color="auto" w:sz="4" w:space="0"/>
              <w:right w:val="single" w:color="auto" w:sz="4" w:space="0"/>
            </w:tcBorders>
            <w:shd w:val="clear" w:color="auto" w:fill="auto"/>
            <w:vAlign w:val="center"/>
          </w:tcPr>
          <w:p>
            <w:pPr>
              <w:widowControl/>
              <w:spacing w:line="240" w:lineRule="atLeast"/>
              <w:rPr>
                <w:color w:val="000000"/>
                <w:sz w:val="21"/>
                <w:szCs w:val="21"/>
                <w:lang w:eastAsia="zh-CN"/>
              </w:rPr>
            </w:pPr>
          </w:p>
        </w:tc>
        <w:tc>
          <w:tcPr>
            <w:tcW w:w="1276" w:type="dxa"/>
            <w:tcBorders>
              <w:top w:val="single" w:color="auto" w:sz="4" w:space="0"/>
              <w:left w:val="nil"/>
              <w:right w:val="single" w:color="auto" w:sz="4" w:space="0"/>
            </w:tcBorders>
            <w:shd w:val="clear" w:color="auto" w:fill="auto"/>
            <w:vAlign w:val="center"/>
          </w:tcPr>
          <w:p>
            <w:pPr>
              <w:widowControl/>
              <w:spacing w:line="240" w:lineRule="atLeast"/>
              <w:textAlignment w:val="center"/>
              <w:rPr>
                <w:sz w:val="21"/>
                <w:szCs w:val="21"/>
              </w:rPr>
            </w:pPr>
            <w:r>
              <w:rPr>
                <w:rFonts w:hint="eastAsia"/>
                <w:b/>
                <w:bCs/>
                <w:sz w:val="21"/>
                <w:szCs w:val="21"/>
              </w:rPr>
              <w:t>项目</w:t>
            </w:r>
            <w:r>
              <w:rPr>
                <w:rFonts w:hint="eastAsia" w:cs="Arial"/>
                <w:b/>
                <w:sz w:val="21"/>
                <w:szCs w:val="21"/>
              </w:rPr>
              <w:t>管理体系</w:t>
            </w:r>
          </w:p>
        </w:tc>
        <w:tc>
          <w:tcPr>
            <w:tcW w:w="456" w:type="dxa"/>
            <w:tcBorders>
              <w:top w:val="single" w:color="auto" w:sz="4" w:space="0"/>
              <w:left w:val="nil"/>
              <w:right w:val="single" w:color="auto" w:sz="4" w:space="0"/>
            </w:tcBorders>
            <w:shd w:val="clear" w:color="auto" w:fill="auto"/>
            <w:vAlign w:val="center"/>
          </w:tcPr>
          <w:p>
            <w:pPr>
              <w:widowControl/>
              <w:spacing w:line="240" w:lineRule="atLeast"/>
              <w:jc w:val="center"/>
              <w:textAlignment w:val="center"/>
              <w:rPr>
                <w:color w:val="000000"/>
                <w:sz w:val="21"/>
                <w:szCs w:val="21"/>
              </w:rPr>
            </w:pPr>
            <w:r>
              <w:rPr>
                <w:rFonts w:hint="eastAsia"/>
                <w:color w:val="000000"/>
                <w:sz w:val="21"/>
                <w:szCs w:val="21"/>
              </w:rPr>
              <w:t>3</w:t>
            </w:r>
          </w:p>
        </w:tc>
        <w:tc>
          <w:tcPr>
            <w:tcW w:w="5923" w:type="dxa"/>
            <w:tcBorders>
              <w:top w:val="single" w:color="auto" w:sz="4" w:space="0"/>
              <w:left w:val="nil"/>
              <w:right w:val="single" w:color="auto" w:sz="4" w:space="0"/>
            </w:tcBorders>
            <w:shd w:val="clear" w:color="auto" w:fill="auto"/>
            <w:vAlign w:val="center"/>
          </w:tcPr>
          <w:p>
            <w:pPr>
              <w:spacing w:line="240" w:lineRule="atLeast"/>
              <w:rPr>
                <w:rFonts w:cs="Arial"/>
                <w:bCs/>
                <w:sz w:val="21"/>
                <w:szCs w:val="21"/>
                <w:lang w:eastAsia="zh-CN"/>
              </w:rPr>
            </w:pPr>
            <w:r>
              <w:rPr>
                <w:bCs/>
                <w:sz w:val="21"/>
                <w:szCs w:val="21"/>
              </w:rPr>
              <w:fldChar w:fldCharType="begin"/>
            </w:r>
            <w:r>
              <w:rPr>
                <w:bCs/>
                <w:sz w:val="21"/>
                <w:szCs w:val="21"/>
                <w:lang w:eastAsia="zh-CN"/>
              </w:rPr>
              <w:instrText xml:space="preserve"> </w:instrText>
            </w:r>
            <w:r>
              <w:rPr>
                <w:rFonts w:hint="eastAsia"/>
                <w:bCs/>
                <w:sz w:val="21"/>
                <w:szCs w:val="21"/>
                <w:lang w:eastAsia="zh-CN"/>
              </w:rPr>
              <w:instrText xml:space="preserve">= 1 \* GB3</w:instrText>
            </w:r>
            <w:r>
              <w:rPr>
                <w:bCs/>
                <w:sz w:val="21"/>
                <w:szCs w:val="21"/>
                <w:lang w:eastAsia="zh-CN"/>
              </w:rPr>
              <w:instrText xml:space="preserve"> </w:instrText>
            </w:r>
            <w:r>
              <w:rPr>
                <w:bCs/>
                <w:sz w:val="21"/>
                <w:szCs w:val="21"/>
              </w:rPr>
              <w:fldChar w:fldCharType="separate"/>
            </w:r>
            <w:r>
              <w:rPr>
                <w:rFonts w:hint="eastAsia"/>
                <w:bCs/>
                <w:sz w:val="21"/>
                <w:szCs w:val="21"/>
                <w:lang w:eastAsia="zh-CN"/>
              </w:rPr>
              <w:t>①</w:t>
            </w:r>
            <w:r>
              <w:rPr>
                <w:bCs/>
                <w:sz w:val="21"/>
                <w:szCs w:val="21"/>
              </w:rPr>
              <w:fldChar w:fldCharType="end"/>
            </w:r>
            <w:r>
              <w:rPr>
                <w:rFonts w:hint="eastAsia" w:cs="Arial"/>
                <w:bCs/>
                <w:sz w:val="21"/>
                <w:szCs w:val="21"/>
                <w:lang w:eastAsia="zh-CN"/>
              </w:rPr>
              <w:t>质量管理</w:t>
            </w:r>
          </w:p>
          <w:p>
            <w:pPr>
              <w:spacing w:line="240" w:lineRule="atLeast"/>
              <w:rPr>
                <w:rFonts w:cs="Arial"/>
                <w:snapToGrid w:val="0"/>
                <w:sz w:val="21"/>
                <w:szCs w:val="21"/>
                <w:lang w:eastAsia="zh-CN"/>
              </w:rPr>
            </w:pPr>
            <w:r>
              <w:rPr>
                <w:rFonts w:hint="eastAsia" w:cs="Arial"/>
                <w:snapToGrid w:val="0"/>
                <w:sz w:val="21"/>
                <w:szCs w:val="21"/>
                <w:lang w:eastAsia="zh-CN"/>
              </w:rPr>
              <w:t>根据投标人提供的质量目标是否明确，质量</w:t>
            </w:r>
            <w:r>
              <w:rPr>
                <w:rFonts w:cs="Arial"/>
                <w:snapToGrid w:val="0"/>
                <w:sz w:val="21"/>
                <w:szCs w:val="21"/>
                <w:lang w:eastAsia="zh-CN"/>
              </w:rPr>
              <w:t>管理</w:t>
            </w:r>
            <w:r>
              <w:rPr>
                <w:rFonts w:hint="eastAsia" w:cs="Arial"/>
                <w:snapToGrid w:val="0"/>
                <w:sz w:val="21"/>
                <w:szCs w:val="21"/>
                <w:lang w:eastAsia="zh-CN"/>
              </w:rPr>
              <w:t>制度是否完善，质量</w:t>
            </w:r>
            <w:r>
              <w:rPr>
                <w:rFonts w:cs="Arial"/>
                <w:snapToGrid w:val="0"/>
                <w:sz w:val="21"/>
                <w:szCs w:val="21"/>
                <w:lang w:eastAsia="zh-CN"/>
              </w:rPr>
              <w:t>控制计划</w:t>
            </w:r>
            <w:r>
              <w:rPr>
                <w:rFonts w:hint="eastAsia" w:cs="Arial"/>
                <w:snapToGrid w:val="0"/>
                <w:sz w:val="21"/>
                <w:szCs w:val="21"/>
                <w:lang w:eastAsia="zh-CN"/>
              </w:rPr>
              <w:t>、质量</w:t>
            </w:r>
            <w:r>
              <w:rPr>
                <w:rFonts w:cs="Arial"/>
                <w:snapToGrid w:val="0"/>
                <w:sz w:val="21"/>
                <w:szCs w:val="21"/>
                <w:lang w:eastAsia="zh-CN"/>
              </w:rPr>
              <w:t>控制措施</w:t>
            </w:r>
            <w:r>
              <w:rPr>
                <w:rFonts w:hint="eastAsia" w:cs="Arial"/>
                <w:snapToGrid w:val="0"/>
                <w:sz w:val="21"/>
                <w:szCs w:val="21"/>
                <w:lang w:eastAsia="zh-CN"/>
              </w:rPr>
              <w:t>的</w:t>
            </w:r>
            <w:r>
              <w:rPr>
                <w:rFonts w:cs="Arial"/>
                <w:snapToGrid w:val="0"/>
                <w:sz w:val="21"/>
                <w:szCs w:val="21"/>
                <w:lang w:eastAsia="zh-CN"/>
              </w:rPr>
              <w:t>齐全</w:t>
            </w:r>
            <w:r>
              <w:rPr>
                <w:rFonts w:hint="eastAsia" w:cs="Arial"/>
                <w:snapToGrid w:val="0"/>
                <w:sz w:val="21"/>
                <w:szCs w:val="21"/>
                <w:lang w:eastAsia="zh-CN"/>
              </w:rPr>
              <w:t>性、</w:t>
            </w:r>
            <w:r>
              <w:rPr>
                <w:rFonts w:cs="Arial"/>
                <w:snapToGrid w:val="0"/>
                <w:sz w:val="21"/>
                <w:szCs w:val="21"/>
                <w:lang w:eastAsia="zh-CN"/>
              </w:rPr>
              <w:t>可操作性</w:t>
            </w:r>
            <w:r>
              <w:rPr>
                <w:rFonts w:hint="eastAsia" w:cs="Arial"/>
                <w:snapToGrid w:val="0"/>
                <w:sz w:val="21"/>
                <w:szCs w:val="21"/>
                <w:lang w:eastAsia="zh-CN"/>
              </w:rPr>
              <w:t>等进行评审，并在0-1分之间进行评分。</w:t>
            </w:r>
          </w:p>
          <w:p>
            <w:pPr>
              <w:spacing w:line="240" w:lineRule="atLeast"/>
              <w:rPr>
                <w:rFonts w:cs="Arial"/>
                <w:bCs/>
                <w:sz w:val="21"/>
                <w:szCs w:val="21"/>
                <w:lang w:eastAsia="zh-CN"/>
              </w:rPr>
            </w:pPr>
            <w:r>
              <w:rPr>
                <w:bCs/>
                <w:sz w:val="21"/>
                <w:szCs w:val="21"/>
              </w:rPr>
              <w:fldChar w:fldCharType="begin"/>
            </w:r>
            <w:r>
              <w:rPr>
                <w:bCs/>
                <w:sz w:val="21"/>
                <w:szCs w:val="21"/>
                <w:lang w:eastAsia="zh-CN"/>
              </w:rPr>
              <w:instrText xml:space="preserve"> </w:instrText>
            </w:r>
            <w:r>
              <w:rPr>
                <w:rFonts w:hint="eastAsia"/>
                <w:bCs/>
                <w:sz w:val="21"/>
                <w:szCs w:val="21"/>
                <w:lang w:eastAsia="zh-CN"/>
              </w:rPr>
              <w:instrText xml:space="preserve">= 2 \* GB3</w:instrText>
            </w:r>
            <w:r>
              <w:rPr>
                <w:bCs/>
                <w:sz w:val="21"/>
                <w:szCs w:val="21"/>
                <w:lang w:eastAsia="zh-CN"/>
              </w:rPr>
              <w:instrText xml:space="preserve"> </w:instrText>
            </w:r>
            <w:r>
              <w:rPr>
                <w:bCs/>
                <w:sz w:val="21"/>
                <w:szCs w:val="21"/>
              </w:rPr>
              <w:fldChar w:fldCharType="separate"/>
            </w:r>
            <w:r>
              <w:rPr>
                <w:rFonts w:hint="eastAsia"/>
                <w:bCs/>
                <w:sz w:val="21"/>
                <w:szCs w:val="21"/>
                <w:lang w:eastAsia="zh-CN"/>
              </w:rPr>
              <w:t>②</w:t>
            </w:r>
            <w:r>
              <w:rPr>
                <w:bCs/>
                <w:sz w:val="21"/>
                <w:szCs w:val="21"/>
              </w:rPr>
              <w:fldChar w:fldCharType="end"/>
            </w:r>
            <w:r>
              <w:rPr>
                <w:rFonts w:hint="eastAsia" w:cs="Arial"/>
                <w:bCs/>
                <w:sz w:val="21"/>
                <w:szCs w:val="21"/>
                <w:lang w:eastAsia="zh-CN"/>
              </w:rPr>
              <w:t>安全管理</w:t>
            </w:r>
          </w:p>
          <w:p>
            <w:pPr>
              <w:spacing w:line="240" w:lineRule="atLeast"/>
              <w:rPr>
                <w:bCs/>
                <w:sz w:val="21"/>
                <w:szCs w:val="21"/>
                <w:lang w:eastAsia="zh-CN"/>
              </w:rPr>
            </w:pPr>
            <w:r>
              <w:rPr>
                <w:rFonts w:hint="eastAsia" w:cs="Arial"/>
                <w:snapToGrid w:val="0"/>
                <w:sz w:val="21"/>
                <w:szCs w:val="21"/>
                <w:lang w:eastAsia="zh-CN"/>
              </w:rPr>
              <w:t>根据投标人提供的</w:t>
            </w:r>
            <w:r>
              <w:rPr>
                <w:rFonts w:hint="eastAsia"/>
                <w:bCs/>
                <w:sz w:val="21"/>
                <w:szCs w:val="21"/>
                <w:lang w:eastAsia="zh-CN"/>
              </w:rPr>
              <w:t>安全管理目标是否明确、</w:t>
            </w:r>
            <w:r>
              <w:rPr>
                <w:rFonts w:cs="Arial"/>
                <w:snapToGrid w:val="0"/>
                <w:sz w:val="21"/>
                <w:szCs w:val="21"/>
                <w:lang w:eastAsia="zh-CN"/>
              </w:rPr>
              <w:t>安全管理</w:t>
            </w:r>
            <w:r>
              <w:rPr>
                <w:rFonts w:hint="eastAsia" w:cs="Arial"/>
                <w:snapToGrid w:val="0"/>
                <w:sz w:val="21"/>
                <w:szCs w:val="21"/>
                <w:lang w:eastAsia="zh-CN"/>
              </w:rPr>
              <w:t>制度是否完善、</w:t>
            </w:r>
            <w:r>
              <w:rPr>
                <w:rFonts w:cs="Arial"/>
                <w:snapToGrid w:val="0"/>
                <w:sz w:val="21"/>
                <w:szCs w:val="21"/>
                <w:lang w:eastAsia="zh-CN"/>
              </w:rPr>
              <w:t>安全控制计划，安全控制措施</w:t>
            </w:r>
            <w:r>
              <w:rPr>
                <w:rFonts w:hint="eastAsia" w:cs="Arial"/>
                <w:snapToGrid w:val="0"/>
                <w:sz w:val="21"/>
                <w:szCs w:val="21"/>
                <w:lang w:eastAsia="zh-CN"/>
              </w:rPr>
              <w:t>的</w:t>
            </w:r>
            <w:r>
              <w:rPr>
                <w:rFonts w:cs="Arial"/>
                <w:snapToGrid w:val="0"/>
                <w:sz w:val="21"/>
                <w:szCs w:val="21"/>
                <w:lang w:eastAsia="zh-CN"/>
              </w:rPr>
              <w:t>齐全</w:t>
            </w:r>
            <w:r>
              <w:rPr>
                <w:rFonts w:hint="eastAsia" w:cs="Arial"/>
                <w:snapToGrid w:val="0"/>
                <w:sz w:val="21"/>
                <w:szCs w:val="21"/>
                <w:lang w:eastAsia="zh-CN"/>
              </w:rPr>
              <w:t>性、</w:t>
            </w:r>
            <w:r>
              <w:rPr>
                <w:rFonts w:cs="Arial"/>
                <w:snapToGrid w:val="0"/>
                <w:sz w:val="21"/>
                <w:szCs w:val="21"/>
                <w:lang w:eastAsia="zh-CN"/>
              </w:rPr>
              <w:t>可操作性</w:t>
            </w:r>
            <w:r>
              <w:rPr>
                <w:rFonts w:hint="eastAsia" w:cs="Arial"/>
                <w:snapToGrid w:val="0"/>
                <w:sz w:val="21"/>
                <w:szCs w:val="21"/>
                <w:lang w:eastAsia="zh-CN"/>
              </w:rPr>
              <w:t>等进行评审，并在0-1分之间进行评分。</w:t>
            </w:r>
          </w:p>
          <w:p>
            <w:pPr>
              <w:spacing w:line="240" w:lineRule="atLeast"/>
              <w:rPr>
                <w:bCs/>
                <w:sz w:val="21"/>
                <w:szCs w:val="21"/>
                <w:lang w:eastAsia="zh-CN"/>
              </w:rPr>
            </w:pPr>
            <w:r>
              <w:rPr>
                <w:bCs/>
                <w:sz w:val="21"/>
                <w:szCs w:val="21"/>
              </w:rPr>
              <w:fldChar w:fldCharType="begin"/>
            </w:r>
            <w:r>
              <w:rPr>
                <w:bCs/>
                <w:sz w:val="21"/>
                <w:szCs w:val="21"/>
                <w:lang w:eastAsia="zh-CN"/>
              </w:rPr>
              <w:instrText xml:space="preserve"> </w:instrText>
            </w:r>
            <w:r>
              <w:rPr>
                <w:rFonts w:hint="eastAsia"/>
                <w:bCs/>
                <w:sz w:val="21"/>
                <w:szCs w:val="21"/>
                <w:lang w:eastAsia="zh-CN"/>
              </w:rPr>
              <w:instrText xml:space="preserve">= 3 \* GB3</w:instrText>
            </w:r>
            <w:r>
              <w:rPr>
                <w:bCs/>
                <w:sz w:val="21"/>
                <w:szCs w:val="21"/>
                <w:lang w:eastAsia="zh-CN"/>
              </w:rPr>
              <w:instrText xml:space="preserve"> </w:instrText>
            </w:r>
            <w:r>
              <w:rPr>
                <w:bCs/>
                <w:sz w:val="21"/>
                <w:szCs w:val="21"/>
              </w:rPr>
              <w:fldChar w:fldCharType="separate"/>
            </w:r>
            <w:r>
              <w:rPr>
                <w:rFonts w:hint="eastAsia"/>
                <w:bCs/>
                <w:sz w:val="21"/>
                <w:szCs w:val="21"/>
                <w:lang w:eastAsia="zh-CN"/>
              </w:rPr>
              <w:t>③</w:t>
            </w:r>
            <w:r>
              <w:rPr>
                <w:bCs/>
                <w:sz w:val="21"/>
                <w:szCs w:val="21"/>
              </w:rPr>
              <w:fldChar w:fldCharType="end"/>
            </w:r>
            <w:r>
              <w:rPr>
                <w:rFonts w:hint="eastAsia"/>
                <w:bCs/>
                <w:sz w:val="21"/>
                <w:szCs w:val="21"/>
                <w:lang w:eastAsia="zh-CN"/>
              </w:rPr>
              <w:t>环境与健康管理</w:t>
            </w:r>
          </w:p>
          <w:p>
            <w:pPr>
              <w:spacing w:line="240" w:lineRule="atLeast"/>
              <w:rPr>
                <w:sz w:val="21"/>
                <w:szCs w:val="21"/>
                <w:lang w:eastAsia="zh-CN"/>
              </w:rPr>
            </w:pPr>
            <w:r>
              <w:rPr>
                <w:rFonts w:hint="eastAsia" w:cs="Arial"/>
                <w:snapToGrid w:val="0"/>
                <w:sz w:val="21"/>
                <w:szCs w:val="21"/>
                <w:lang w:eastAsia="zh-CN"/>
              </w:rPr>
              <w:t>根据投标人提供的</w:t>
            </w:r>
            <w:r>
              <w:rPr>
                <w:rFonts w:hint="eastAsia"/>
                <w:bCs/>
                <w:sz w:val="21"/>
                <w:szCs w:val="21"/>
                <w:lang w:eastAsia="zh-CN"/>
              </w:rPr>
              <w:t>环境与健康管理目标是否明确，环境与健康管理</w:t>
            </w:r>
            <w:r>
              <w:rPr>
                <w:rFonts w:hint="eastAsia" w:cs="Arial"/>
                <w:snapToGrid w:val="0"/>
                <w:sz w:val="21"/>
                <w:szCs w:val="21"/>
                <w:lang w:eastAsia="zh-CN"/>
              </w:rPr>
              <w:t>制度是否完善，</w:t>
            </w:r>
            <w:r>
              <w:rPr>
                <w:rFonts w:hint="eastAsia"/>
                <w:bCs/>
                <w:sz w:val="21"/>
                <w:szCs w:val="21"/>
                <w:lang w:eastAsia="zh-CN"/>
              </w:rPr>
              <w:t>环境与健康管理</w:t>
            </w:r>
            <w:r>
              <w:rPr>
                <w:rFonts w:cs="Arial"/>
                <w:snapToGrid w:val="0"/>
                <w:sz w:val="21"/>
                <w:szCs w:val="21"/>
                <w:lang w:eastAsia="zh-CN"/>
              </w:rPr>
              <w:t>控制计划</w:t>
            </w:r>
            <w:r>
              <w:rPr>
                <w:rFonts w:hint="eastAsia" w:cs="Arial"/>
                <w:snapToGrid w:val="0"/>
                <w:sz w:val="21"/>
                <w:szCs w:val="21"/>
                <w:lang w:eastAsia="zh-CN"/>
              </w:rPr>
              <w:t>、</w:t>
            </w:r>
            <w:r>
              <w:rPr>
                <w:rFonts w:hint="eastAsia"/>
                <w:bCs/>
                <w:sz w:val="21"/>
                <w:szCs w:val="21"/>
                <w:lang w:eastAsia="zh-CN"/>
              </w:rPr>
              <w:t>环境与健康管理</w:t>
            </w:r>
            <w:r>
              <w:rPr>
                <w:rFonts w:cs="Arial"/>
                <w:snapToGrid w:val="0"/>
                <w:sz w:val="21"/>
                <w:szCs w:val="21"/>
                <w:lang w:eastAsia="zh-CN"/>
              </w:rPr>
              <w:t>控制措施</w:t>
            </w:r>
            <w:r>
              <w:rPr>
                <w:rFonts w:hint="eastAsia" w:cs="Arial"/>
                <w:snapToGrid w:val="0"/>
                <w:sz w:val="21"/>
                <w:szCs w:val="21"/>
                <w:lang w:eastAsia="zh-CN"/>
              </w:rPr>
              <w:t>的</w:t>
            </w:r>
            <w:r>
              <w:rPr>
                <w:rFonts w:cs="Arial"/>
                <w:snapToGrid w:val="0"/>
                <w:sz w:val="21"/>
                <w:szCs w:val="21"/>
                <w:lang w:eastAsia="zh-CN"/>
              </w:rPr>
              <w:t>齐全</w:t>
            </w:r>
            <w:r>
              <w:rPr>
                <w:rFonts w:hint="eastAsia" w:cs="Arial"/>
                <w:snapToGrid w:val="0"/>
                <w:sz w:val="21"/>
                <w:szCs w:val="21"/>
                <w:lang w:eastAsia="zh-CN"/>
              </w:rPr>
              <w:t>性、</w:t>
            </w:r>
            <w:r>
              <w:rPr>
                <w:rFonts w:cs="Arial"/>
                <w:snapToGrid w:val="0"/>
                <w:sz w:val="21"/>
                <w:szCs w:val="21"/>
                <w:lang w:eastAsia="zh-CN"/>
              </w:rPr>
              <w:t>可操作性</w:t>
            </w:r>
            <w:r>
              <w:rPr>
                <w:rFonts w:hint="eastAsia" w:cs="Arial"/>
                <w:snapToGrid w:val="0"/>
                <w:sz w:val="21"/>
                <w:szCs w:val="21"/>
                <w:lang w:eastAsia="zh-CN"/>
              </w:rPr>
              <w:t>等进行评审，并在0-1分之间进行评分。</w:t>
            </w:r>
          </w:p>
        </w:tc>
      </w:tr>
      <w:tr>
        <w:tblPrEx>
          <w:tblCellMar>
            <w:top w:w="0" w:type="dxa"/>
            <w:left w:w="108" w:type="dxa"/>
            <w:bottom w:w="0" w:type="dxa"/>
            <w:right w:w="108" w:type="dxa"/>
          </w:tblCellMar>
        </w:tblPrEx>
        <w:trPr>
          <w:trHeight w:val="562" w:hRule="atLeast"/>
          <w:jc w:val="center"/>
        </w:trPr>
        <w:tc>
          <w:tcPr>
            <w:tcW w:w="553" w:type="dxa"/>
            <w:tcBorders>
              <w:left w:val="single" w:color="auto" w:sz="4" w:space="0"/>
              <w:right w:val="single" w:color="auto" w:sz="4" w:space="0"/>
            </w:tcBorders>
            <w:shd w:val="clear" w:color="auto" w:fill="auto"/>
            <w:vAlign w:val="center"/>
          </w:tcPr>
          <w:p>
            <w:pPr>
              <w:widowControl/>
              <w:spacing w:line="240" w:lineRule="atLeast"/>
              <w:rPr>
                <w:color w:val="000000"/>
                <w:sz w:val="21"/>
                <w:szCs w:val="21"/>
                <w:lang w:eastAsia="zh-CN"/>
              </w:rPr>
            </w:pPr>
          </w:p>
        </w:tc>
        <w:tc>
          <w:tcPr>
            <w:tcW w:w="577" w:type="dxa"/>
            <w:tcBorders>
              <w:left w:val="single" w:color="auto" w:sz="4" w:space="0"/>
              <w:right w:val="single" w:color="auto" w:sz="4" w:space="0"/>
            </w:tcBorders>
            <w:shd w:val="clear" w:color="auto" w:fill="auto"/>
            <w:vAlign w:val="center"/>
          </w:tcPr>
          <w:p>
            <w:pPr>
              <w:widowControl/>
              <w:spacing w:line="240" w:lineRule="atLeast"/>
              <w:rPr>
                <w:color w:val="000000"/>
                <w:sz w:val="21"/>
                <w:szCs w:val="21"/>
                <w:lang w:eastAsia="zh-CN"/>
              </w:rPr>
            </w:pPr>
          </w:p>
        </w:tc>
        <w:tc>
          <w:tcPr>
            <w:tcW w:w="1276" w:type="dxa"/>
            <w:tcBorders>
              <w:top w:val="single" w:color="auto" w:sz="4" w:space="0"/>
              <w:left w:val="nil"/>
              <w:right w:val="single" w:color="auto" w:sz="4" w:space="0"/>
            </w:tcBorders>
            <w:shd w:val="clear" w:color="auto" w:fill="auto"/>
            <w:vAlign w:val="center"/>
          </w:tcPr>
          <w:p>
            <w:pPr>
              <w:widowControl/>
              <w:spacing w:line="240" w:lineRule="atLeast"/>
              <w:textAlignment w:val="center"/>
              <w:rPr>
                <w:sz w:val="21"/>
                <w:szCs w:val="21"/>
              </w:rPr>
            </w:pPr>
            <w:r>
              <w:rPr>
                <w:rFonts w:hint="eastAsia"/>
                <w:b/>
                <w:bCs/>
                <w:sz w:val="21"/>
                <w:szCs w:val="21"/>
              </w:rPr>
              <w:t>风险</w:t>
            </w:r>
            <w:r>
              <w:rPr>
                <w:rFonts w:hint="eastAsia" w:cs="Arial"/>
                <w:b/>
                <w:sz w:val="21"/>
                <w:szCs w:val="21"/>
              </w:rPr>
              <w:t>应急管理方案</w:t>
            </w:r>
          </w:p>
        </w:tc>
        <w:tc>
          <w:tcPr>
            <w:tcW w:w="456" w:type="dxa"/>
            <w:tcBorders>
              <w:top w:val="single" w:color="auto" w:sz="4" w:space="0"/>
              <w:left w:val="nil"/>
              <w:right w:val="single" w:color="auto" w:sz="4" w:space="0"/>
            </w:tcBorders>
            <w:shd w:val="clear" w:color="auto" w:fill="auto"/>
            <w:vAlign w:val="center"/>
          </w:tcPr>
          <w:p>
            <w:pPr>
              <w:widowControl/>
              <w:spacing w:line="240" w:lineRule="atLeast"/>
              <w:jc w:val="center"/>
              <w:textAlignment w:val="center"/>
              <w:rPr>
                <w:color w:val="000000"/>
                <w:sz w:val="21"/>
                <w:szCs w:val="21"/>
              </w:rPr>
            </w:pPr>
            <w:r>
              <w:rPr>
                <w:rFonts w:hint="eastAsia"/>
                <w:color w:val="000000"/>
                <w:sz w:val="21"/>
                <w:szCs w:val="21"/>
              </w:rPr>
              <w:t>2</w:t>
            </w:r>
          </w:p>
        </w:tc>
        <w:tc>
          <w:tcPr>
            <w:tcW w:w="5923" w:type="dxa"/>
            <w:tcBorders>
              <w:top w:val="single" w:color="auto" w:sz="4" w:space="0"/>
              <w:left w:val="nil"/>
              <w:right w:val="single" w:color="auto" w:sz="4" w:space="0"/>
            </w:tcBorders>
            <w:shd w:val="clear" w:color="auto" w:fill="auto"/>
            <w:vAlign w:val="center"/>
          </w:tcPr>
          <w:p>
            <w:pPr>
              <w:spacing w:line="240" w:lineRule="atLeast"/>
              <w:rPr>
                <w:sz w:val="21"/>
                <w:szCs w:val="21"/>
                <w:lang w:eastAsia="zh-CN"/>
              </w:rPr>
            </w:pPr>
            <w:r>
              <w:rPr>
                <w:rFonts w:hint="eastAsia" w:cs="Arial"/>
                <w:snapToGrid w:val="0"/>
                <w:sz w:val="21"/>
                <w:szCs w:val="21"/>
                <w:lang w:eastAsia="zh-CN"/>
              </w:rPr>
              <w:t>根据投标人</w:t>
            </w:r>
            <w:r>
              <w:rPr>
                <w:rFonts w:hint="eastAsia"/>
                <w:sz w:val="21"/>
                <w:szCs w:val="21"/>
                <w:lang w:eastAsia="zh-CN"/>
              </w:rPr>
              <w:t>对本项目进行过程中存在的风险分析的完整程度及</w:t>
            </w:r>
            <w:r>
              <w:rPr>
                <w:rFonts w:hint="eastAsia" w:cs="Arial"/>
                <w:snapToGrid w:val="0"/>
                <w:sz w:val="21"/>
                <w:szCs w:val="21"/>
                <w:lang w:eastAsia="zh-CN"/>
              </w:rPr>
              <w:t>提供的应急预案的完善性、可行性，在0-2</w:t>
            </w:r>
            <w:r>
              <w:rPr>
                <w:rFonts w:cs="Arial"/>
                <w:snapToGrid w:val="0"/>
                <w:sz w:val="21"/>
                <w:szCs w:val="21"/>
                <w:lang w:eastAsia="zh-CN"/>
              </w:rPr>
              <w:t>分</w:t>
            </w:r>
            <w:r>
              <w:rPr>
                <w:rFonts w:hint="eastAsia" w:cs="Arial"/>
                <w:snapToGrid w:val="0"/>
                <w:sz w:val="21"/>
                <w:szCs w:val="21"/>
                <w:lang w:eastAsia="zh-CN"/>
              </w:rPr>
              <w:t>之间评分</w:t>
            </w:r>
            <w:r>
              <w:rPr>
                <w:rFonts w:cs="Arial"/>
                <w:snapToGrid w:val="0"/>
                <w:sz w:val="21"/>
                <w:szCs w:val="21"/>
                <w:lang w:eastAsia="zh-CN"/>
              </w:rPr>
              <w:t>。</w:t>
            </w:r>
          </w:p>
        </w:tc>
      </w:tr>
      <w:tr>
        <w:tblPrEx>
          <w:tblCellMar>
            <w:top w:w="0" w:type="dxa"/>
            <w:left w:w="108" w:type="dxa"/>
            <w:bottom w:w="0" w:type="dxa"/>
            <w:right w:w="108" w:type="dxa"/>
          </w:tblCellMar>
        </w:tblPrEx>
        <w:trPr>
          <w:trHeight w:val="416" w:hRule="atLeast"/>
          <w:jc w:val="center"/>
        </w:trPr>
        <w:tc>
          <w:tcPr>
            <w:tcW w:w="553" w:type="dxa"/>
            <w:tcBorders>
              <w:left w:val="single" w:color="auto" w:sz="4" w:space="0"/>
              <w:right w:val="single" w:color="auto" w:sz="4" w:space="0"/>
            </w:tcBorders>
            <w:shd w:val="clear" w:color="auto" w:fill="auto"/>
            <w:vAlign w:val="center"/>
          </w:tcPr>
          <w:p>
            <w:pPr>
              <w:widowControl/>
              <w:spacing w:line="240" w:lineRule="atLeast"/>
              <w:rPr>
                <w:color w:val="000000"/>
                <w:sz w:val="21"/>
                <w:szCs w:val="21"/>
                <w:lang w:eastAsia="zh-CN"/>
              </w:rPr>
            </w:pPr>
          </w:p>
        </w:tc>
        <w:tc>
          <w:tcPr>
            <w:tcW w:w="577" w:type="dxa"/>
            <w:tcBorders>
              <w:left w:val="single" w:color="auto" w:sz="4" w:space="0"/>
              <w:right w:val="single" w:color="auto" w:sz="4" w:space="0"/>
            </w:tcBorders>
            <w:shd w:val="clear" w:color="auto" w:fill="auto"/>
            <w:vAlign w:val="center"/>
          </w:tcPr>
          <w:p>
            <w:pPr>
              <w:widowControl/>
              <w:spacing w:line="240" w:lineRule="atLeast"/>
              <w:rPr>
                <w:color w:val="000000"/>
                <w:sz w:val="21"/>
                <w:szCs w:val="21"/>
                <w:lang w:eastAsia="zh-CN"/>
              </w:rPr>
            </w:pPr>
          </w:p>
        </w:tc>
        <w:tc>
          <w:tcPr>
            <w:tcW w:w="1276" w:type="dxa"/>
            <w:tcBorders>
              <w:top w:val="single" w:color="auto" w:sz="4" w:space="0"/>
              <w:left w:val="nil"/>
              <w:right w:val="single" w:color="auto" w:sz="4" w:space="0"/>
            </w:tcBorders>
            <w:shd w:val="clear" w:color="auto" w:fill="auto"/>
            <w:vAlign w:val="center"/>
          </w:tcPr>
          <w:p>
            <w:pPr>
              <w:widowControl/>
              <w:spacing w:line="240" w:lineRule="atLeast"/>
              <w:textAlignment w:val="center"/>
              <w:rPr>
                <w:sz w:val="21"/>
                <w:szCs w:val="21"/>
              </w:rPr>
            </w:pPr>
            <w:r>
              <w:rPr>
                <w:rFonts w:hint="eastAsia" w:cs="黑体"/>
                <w:b/>
                <w:bCs/>
                <w:sz w:val="21"/>
                <w:szCs w:val="21"/>
              </w:rPr>
              <w:t>项目团队配备</w:t>
            </w:r>
          </w:p>
        </w:tc>
        <w:tc>
          <w:tcPr>
            <w:tcW w:w="456" w:type="dxa"/>
            <w:tcBorders>
              <w:top w:val="single" w:color="auto" w:sz="4" w:space="0"/>
              <w:left w:val="nil"/>
              <w:right w:val="single" w:color="auto" w:sz="4" w:space="0"/>
            </w:tcBorders>
            <w:shd w:val="clear" w:color="auto" w:fill="auto"/>
            <w:vAlign w:val="center"/>
          </w:tcPr>
          <w:p>
            <w:pPr>
              <w:widowControl/>
              <w:spacing w:line="240" w:lineRule="atLeast"/>
              <w:jc w:val="center"/>
              <w:textAlignment w:val="center"/>
              <w:rPr>
                <w:color w:val="000000"/>
                <w:sz w:val="21"/>
                <w:szCs w:val="21"/>
              </w:rPr>
            </w:pPr>
            <w:r>
              <w:rPr>
                <w:color w:val="000000"/>
                <w:sz w:val="21"/>
                <w:szCs w:val="21"/>
              </w:rPr>
              <w:t>6</w:t>
            </w:r>
          </w:p>
        </w:tc>
        <w:tc>
          <w:tcPr>
            <w:tcW w:w="5923" w:type="dxa"/>
            <w:tcBorders>
              <w:top w:val="single" w:color="auto" w:sz="4" w:space="0"/>
              <w:left w:val="nil"/>
              <w:right w:val="single" w:color="auto" w:sz="4" w:space="0"/>
            </w:tcBorders>
            <w:shd w:val="clear" w:color="auto" w:fill="auto"/>
            <w:vAlign w:val="center"/>
          </w:tcPr>
          <w:p>
            <w:pPr>
              <w:spacing w:line="240" w:lineRule="atLeast"/>
              <w:rPr>
                <w:rFonts w:cs="Arial"/>
                <w:spacing w:val="10"/>
                <w:sz w:val="21"/>
                <w:szCs w:val="21"/>
                <w:lang w:eastAsia="zh-CN"/>
              </w:rPr>
            </w:pPr>
            <w:r>
              <w:rPr>
                <w:bCs/>
                <w:sz w:val="21"/>
                <w:szCs w:val="21"/>
              </w:rPr>
              <w:fldChar w:fldCharType="begin"/>
            </w:r>
            <w:r>
              <w:rPr>
                <w:bCs/>
                <w:sz w:val="21"/>
                <w:szCs w:val="21"/>
                <w:lang w:eastAsia="zh-CN"/>
              </w:rPr>
              <w:instrText xml:space="preserve"> </w:instrText>
            </w:r>
            <w:r>
              <w:rPr>
                <w:rFonts w:hint="eastAsia"/>
                <w:bCs/>
                <w:sz w:val="21"/>
                <w:szCs w:val="21"/>
                <w:lang w:eastAsia="zh-CN"/>
              </w:rPr>
              <w:instrText xml:space="preserve">= 1 \* GB3</w:instrText>
            </w:r>
            <w:r>
              <w:rPr>
                <w:bCs/>
                <w:sz w:val="21"/>
                <w:szCs w:val="21"/>
                <w:lang w:eastAsia="zh-CN"/>
              </w:rPr>
              <w:instrText xml:space="preserve"> </w:instrText>
            </w:r>
            <w:r>
              <w:rPr>
                <w:bCs/>
                <w:sz w:val="21"/>
                <w:szCs w:val="21"/>
              </w:rPr>
              <w:fldChar w:fldCharType="separate"/>
            </w:r>
            <w:r>
              <w:rPr>
                <w:rFonts w:hint="eastAsia"/>
                <w:bCs/>
                <w:sz w:val="21"/>
                <w:szCs w:val="21"/>
                <w:lang w:eastAsia="zh-CN"/>
              </w:rPr>
              <w:t>①</w:t>
            </w:r>
            <w:r>
              <w:rPr>
                <w:bCs/>
                <w:sz w:val="21"/>
                <w:szCs w:val="21"/>
              </w:rPr>
              <w:fldChar w:fldCharType="end"/>
            </w:r>
            <w:r>
              <w:rPr>
                <w:rFonts w:cs="Arial"/>
                <w:spacing w:val="10"/>
                <w:sz w:val="21"/>
                <w:szCs w:val="21"/>
                <w:lang w:eastAsia="zh-CN"/>
              </w:rPr>
              <w:t>组织机构</w:t>
            </w:r>
            <w:r>
              <w:rPr>
                <w:rFonts w:hint="eastAsia"/>
                <w:sz w:val="21"/>
                <w:szCs w:val="21"/>
                <w:lang w:val="zh-CN" w:eastAsia="zh-CN"/>
              </w:rPr>
              <w:t>（</w:t>
            </w:r>
            <w:r>
              <w:rPr>
                <w:rFonts w:hint="eastAsia"/>
                <w:sz w:val="21"/>
                <w:szCs w:val="21"/>
                <w:lang w:eastAsia="zh-CN"/>
              </w:rPr>
              <w:t>2</w:t>
            </w:r>
            <w:r>
              <w:rPr>
                <w:rFonts w:hint="eastAsia"/>
                <w:sz w:val="21"/>
                <w:szCs w:val="21"/>
                <w:lang w:val="zh-CN" w:eastAsia="zh-CN"/>
              </w:rPr>
              <w:t>分）</w:t>
            </w:r>
          </w:p>
          <w:p>
            <w:pPr>
              <w:spacing w:line="240" w:lineRule="atLeast"/>
              <w:rPr>
                <w:sz w:val="21"/>
                <w:szCs w:val="21"/>
                <w:lang w:eastAsia="zh-CN"/>
              </w:rPr>
            </w:pPr>
            <w:r>
              <w:rPr>
                <w:rFonts w:cs="Arial"/>
                <w:spacing w:val="10"/>
                <w:sz w:val="21"/>
                <w:szCs w:val="21"/>
                <w:lang w:eastAsia="zh-CN"/>
              </w:rPr>
              <w:t>管理组织机构</w:t>
            </w:r>
            <w:r>
              <w:rPr>
                <w:rFonts w:hint="eastAsia" w:cs="Arial"/>
                <w:spacing w:val="10"/>
                <w:sz w:val="21"/>
                <w:szCs w:val="21"/>
                <w:lang w:eastAsia="zh-CN"/>
              </w:rPr>
              <w:t>是否</w:t>
            </w:r>
            <w:r>
              <w:rPr>
                <w:rFonts w:cs="Arial"/>
                <w:spacing w:val="10"/>
                <w:sz w:val="21"/>
                <w:szCs w:val="21"/>
                <w:lang w:eastAsia="zh-CN"/>
              </w:rPr>
              <w:t>健全，管理人员</w:t>
            </w:r>
            <w:r>
              <w:rPr>
                <w:rFonts w:hint="eastAsia" w:cs="Arial"/>
                <w:spacing w:val="10"/>
                <w:sz w:val="21"/>
                <w:szCs w:val="21"/>
                <w:lang w:eastAsia="zh-CN"/>
              </w:rPr>
              <w:t>是否</w:t>
            </w:r>
            <w:r>
              <w:rPr>
                <w:rFonts w:cs="Arial"/>
                <w:spacing w:val="10"/>
                <w:sz w:val="21"/>
                <w:szCs w:val="21"/>
                <w:lang w:eastAsia="zh-CN"/>
              </w:rPr>
              <w:t>符合要求，各专业划分</w:t>
            </w:r>
            <w:r>
              <w:rPr>
                <w:rFonts w:hint="eastAsia" w:cs="Arial"/>
                <w:spacing w:val="10"/>
                <w:sz w:val="21"/>
                <w:szCs w:val="21"/>
                <w:lang w:eastAsia="zh-CN"/>
              </w:rPr>
              <w:t>是否</w:t>
            </w:r>
            <w:r>
              <w:rPr>
                <w:rFonts w:cs="Arial"/>
                <w:spacing w:val="10"/>
                <w:sz w:val="21"/>
                <w:szCs w:val="21"/>
                <w:lang w:eastAsia="zh-CN"/>
              </w:rPr>
              <w:t>合理，</w:t>
            </w:r>
            <w:r>
              <w:rPr>
                <w:rFonts w:hint="eastAsia" w:cs="Arial"/>
                <w:spacing w:val="10"/>
                <w:sz w:val="21"/>
                <w:szCs w:val="21"/>
                <w:lang w:eastAsia="zh-CN"/>
              </w:rPr>
              <w:t>在0-2分之间评分</w:t>
            </w:r>
            <w:r>
              <w:rPr>
                <w:rFonts w:cs="Arial"/>
                <w:spacing w:val="10"/>
                <w:sz w:val="21"/>
                <w:szCs w:val="21"/>
                <w:lang w:eastAsia="zh-CN"/>
              </w:rPr>
              <w:t>。</w:t>
            </w:r>
          </w:p>
          <w:p>
            <w:pPr>
              <w:spacing w:line="240" w:lineRule="atLeast"/>
              <w:rPr>
                <w:rFonts w:cs="Arial"/>
                <w:sz w:val="21"/>
                <w:szCs w:val="21"/>
                <w:lang w:eastAsia="zh-CN"/>
              </w:rPr>
            </w:pPr>
            <w:r>
              <w:rPr>
                <w:bCs/>
                <w:sz w:val="21"/>
                <w:szCs w:val="21"/>
              </w:rPr>
              <w:fldChar w:fldCharType="begin"/>
            </w:r>
            <w:r>
              <w:rPr>
                <w:bCs/>
                <w:sz w:val="21"/>
                <w:szCs w:val="21"/>
                <w:lang w:eastAsia="zh-CN"/>
              </w:rPr>
              <w:instrText xml:space="preserve"> </w:instrText>
            </w:r>
            <w:r>
              <w:rPr>
                <w:rFonts w:hint="eastAsia"/>
                <w:bCs/>
                <w:sz w:val="21"/>
                <w:szCs w:val="21"/>
                <w:lang w:eastAsia="zh-CN"/>
              </w:rPr>
              <w:instrText xml:space="preserve">= 2 \* GB3</w:instrText>
            </w:r>
            <w:r>
              <w:rPr>
                <w:bCs/>
                <w:sz w:val="21"/>
                <w:szCs w:val="21"/>
                <w:lang w:eastAsia="zh-CN"/>
              </w:rPr>
              <w:instrText xml:space="preserve"> </w:instrText>
            </w:r>
            <w:r>
              <w:rPr>
                <w:bCs/>
                <w:sz w:val="21"/>
                <w:szCs w:val="21"/>
              </w:rPr>
              <w:fldChar w:fldCharType="separate"/>
            </w:r>
            <w:r>
              <w:rPr>
                <w:rFonts w:hint="eastAsia"/>
                <w:bCs/>
                <w:sz w:val="21"/>
                <w:szCs w:val="21"/>
                <w:lang w:eastAsia="zh-CN"/>
              </w:rPr>
              <w:t>②</w:t>
            </w:r>
            <w:r>
              <w:rPr>
                <w:bCs/>
                <w:sz w:val="21"/>
                <w:szCs w:val="21"/>
              </w:rPr>
              <w:fldChar w:fldCharType="end"/>
            </w:r>
            <w:r>
              <w:rPr>
                <w:rFonts w:hint="eastAsia" w:cs="Arial"/>
                <w:sz w:val="21"/>
                <w:szCs w:val="21"/>
                <w:lang w:eastAsia="zh-CN"/>
              </w:rPr>
              <w:t>项目主要管理人员</w:t>
            </w:r>
            <w:r>
              <w:rPr>
                <w:rFonts w:cs="Arial"/>
                <w:sz w:val="21"/>
                <w:szCs w:val="21"/>
                <w:lang w:eastAsia="zh-CN"/>
              </w:rPr>
              <w:t>组成</w:t>
            </w:r>
            <w:r>
              <w:rPr>
                <w:rFonts w:hint="eastAsia"/>
                <w:sz w:val="21"/>
                <w:szCs w:val="21"/>
                <w:lang w:val="zh-CN" w:eastAsia="zh-CN"/>
              </w:rPr>
              <w:t>（</w:t>
            </w:r>
            <w:r>
              <w:rPr>
                <w:rFonts w:hint="eastAsia"/>
                <w:sz w:val="21"/>
                <w:szCs w:val="21"/>
                <w:lang w:eastAsia="zh-CN"/>
              </w:rPr>
              <w:t>4</w:t>
            </w:r>
            <w:r>
              <w:rPr>
                <w:rFonts w:hint="eastAsia"/>
                <w:sz w:val="21"/>
                <w:szCs w:val="21"/>
                <w:lang w:val="zh-CN" w:eastAsia="zh-CN"/>
              </w:rPr>
              <w:t>分）</w:t>
            </w:r>
          </w:p>
          <w:p>
            <w:pPr>
              <w:spacing w:line="240" w:lineRule="atLeast"/>
              <w:rPr>
                <w:rFonts w:cs="Arial"/>
                <w:sz w:val="21"/>
                <w:szCs w:val="21"/>
                <w:lang w:eastAsia="zh-CN"/>
              </w:rPr>
            </w:pPr>
            <w:r>
              <w:rPr>
                <w:rFonts w:hint="eastAsia" w:cs="Arial"/>
                <w:sz w:val="21"/>
                <w:szCs w:val="21"/>
                <w:lang w:eastAsia="zh-CN"/>
              </w:rPr>
              <w:t>根据投标人拟派本项目的主要管理</w:t>
            </w:r>
            <w:r>
              <w:rPr>
                <w:rFonts w:cs="Arial"/>
                <w:sz w:val="21"/>
                <w:szCs w:val="21"/>
                <w:lang w:eastAsia="zh-CN"/>
              </w:rPr>
              <w:t>人员</w:t>
            </w:r>
            <w:r>
              <w:rPr>
                <w:rFonts w:hint="eastAsia" w:cs="Arial"/>
                <w:sz w:val="21"/>
                <w:szCs w:val="21"/>
                <w:lang w:eastAsia="zh-CN"/>
              </w:rPr>
              <w:t>（项目经理、安全员等）</w:t>
            </w:r>
            <w:r>
              <w:rPr>
                <w:rFonts w:cs="Arial"/>
                <w:sz w:val="21"/>
                <w:szCs w:val="21"/>
                <w:lang w:eastAsia="zh-CN"/>
              </w:rPr>
              <w:t>配置</w:t>
            </w:r>
            <w:r>
              <w:rPr>
                <w:rFonts w:hint="eastAsia" w:cs="Arial"/>
                <w:sz w:val="21"/>
                <w:szCs w:val="21"/>
                <w:lang w:eastAsia="zh-CN"/>
              </w:rPr>
              <w:t>的</w:t>
            </w:r>
            <w:r>
              <w:rPr>
                <w:rFonts w:cs="Arial"/>
                <w:sz w:val="21"/>
                <w:szCs w:val="21"/>
                <w:lang w:eastAsia="zh-CN"/>
              </w:rPr>
              <w:t>合理</w:t>
            </w:r>
            <w:r>
              <w:rPr>
                <w:rFonts w:hint="eastAsia" w:cs="Arial"/>
                <w:sz w:val="21"/>
                <w:szCs w:val="21"/>
                <w:lang w:eastAsia="zh-CN"/>
              </w:rPr>
              <w:t>性</w:t>
            </w:r>
            <w:r>
              <w:rPr>
                <w:rFonts w:cs="Arial"/>
                <w:sz w:val="21"/>
                <w:szCs w:val="21"/>
                <w:lang w:eastAsia="zh-CN"/>
              </w:rPr>
              <w:t>（包括人员</w:t>
            </w:r>
            <w:r>
              <w:rPr>
                <w:rFonts w:hint="eastAsia" w:cs="Arial"/>
                <w:sz w:val="21"/>
                <w:szCs w:val="21"/>
                <w:lang w:eastAsia="zh-CN"/>
              </w:rPr>
              <w:t>学历、职称、资格证、经验、资历等方面</w:t>
            </w:r>
            <w:r>
              <w:rPr>
                <w:rFonts w:cs="Arial"/>
                <w:sz w:val="21"/>
                <w:szCs w:val="21"/>
                <w:lang w:eastAsia="zh-CN"/>
              </w:rPr>
              <w:t>），满足招标文件技术要求</w:t>
            </w:r>
            <w:r>
              <w:rPr>
                <w:rFonts w:hint="eastAsia" w:cs="Arial"/>
                <w:sz w:val="21"/>
                <w:szCs w:val="21"/>
                <w:lang w:eastAsia="zh-CN"/>
              </w:rPr>
              <w:t>的程度进行评审并在0-4分之间评分。</w:t>
            </w:r>
          </w:p>
          <w:p>
            <w:pPr>
              <w:spacing w:line="240" w:lineRule="atLeast"/>
              <w:rPr>
                <w:rFonts w:cs="Arial"/>
                <w:sz w:val="21"/>
                <w:szCs w:val="21"/>
                <w:lang w:eastAsia="zh-CN"/>
              </w:rPr>
            </w:pPr>
            <w:r>
              <w:rPr>
                <w:rFonts w:hint="eastAsia"/>
                <w:sz w:val="21"/>
                <w:szCs w:val="21"/>
                <w:lang w:eastAsia="zh-CN"/>
              </w:rPr>
              <w:t>③</w:t>
            </w:r>
            <w:r>
              <w:rPr>
                <w:rFonts w:hint="eastAsia" w:cs="Arial"/>
                <w:sz w:val="21"/>
                <w:szCs w:val="21"/>
                <w:lang w:eastAsia="zh-CN"/>
              </w:rPr>
              <w:t>项目团队其他技术</w:t>
            </w:r>
            <w:r>
              <w:rPr>
                <w:rFonts w:cs="Arial"/>
                <w:sz w:val="21"/>
                <w:szCs w:val="21"/>
                <w:lang w:eastAsia="zh-CN"/>
              </w:rPr>
              <w:t>人员资质</w:t>
            </w:r>
            <w:r>
              <w:rPr>
                <w:rFonts w:hint="eastAsia"/>
                <w:sz w:val="21"/>
                <w:szCs w:val="21"/>
                <w:lang w:val="zh-CN" w:eastAsia="zh-CN"/>
              </w:rPr>
              <w:t>（</w:t>
            </w:r>
            <w:r>
              <w:rPr>
                <w:rFonts w:hint="eastAsia"/>
                <w:sz w:val="21"/>
                <w:szCs w:val="21"/>
                <w:lang w:eastAsia="zh-CN"/>
              </w:rPr>
              <w:t>4</w:t>
            </w:r>
            <w:r>
              <w:rPr>
                <w:rFonts w:hint="eastAsia"/>
                <w:sz w:val="21"/>
                <w:szCs w:val="21"/>
                <w:lang w:val="zh-CN" w:eastAsia="zh-CN"/>
              </w:rPr>
              <w:t>分）</w:t>
            </w:r>
          </w:p>
          <w:p>
            <w:pPr>
              <w:spacing w:line="240" w:lineRule="atLeast"/>
              <w:rPr>
                <w:rFonts w:cs="Arial"/>
                <w:sz w:val="21"/>
                <w:szCs w:val="21"/>
                <w:lang w:eastAsia="zh-CN"/>
              </w:rPr>
            </w:pPr>
            <w:r>
              <w:rPr>
                <w:rFonts w:hint="eastAsia" w:cs="Arial"/>
                <w:sz w:val="21"/>
                <w:szCs w:val="21"/>
                <w:lang w:eastAsia="zh-CN"/>
              </w:rPr>
              <w:t>根据投标人拟派本项目的其他技术骨干</w:t>
            </w:r>
            <w:r>
              <w:rPr>
                <w:rFonts w:cs="Arial"/>
                <w:sz w:val="21"/>
                <w:szCs w:val="21"/>
                <w:lang w:eastAsia="zh-CN"/>
              </w:rPr>
              <w:t>人员</w:t>
            </w:r>
            <w:r>
              <w:rPr>
                <w:rFonts w:hint="eastAsia" w:cs="Arial"/>
                <w:sz w:val="21"/>
                <w:szCs w:val="21"/>
                <w:lang w:eastAsia="zh-CN"/>
              </w:rPr>
              <w:t>（包括机务专业、电气专业等技术人员）</w:t>
            </w:r>
            <w:r>
              <w:rPr>
                <w:rFonts w:cs="Arial"/>
                <w:sz w:val="21"/>
                <w:szCs w:val="21"/>
                <w:lang w:eastAsia="zh-CN"/>
              </w:rPr>
              <w:t>的资质</w:t>
            </w:r>
            <w:r>
              <w:rPr>
                <w:rFonts w:hint="eastAsia" w:cs="Arial"/>
                <w:sz w:val="21"/>
                <w:szCs w:val="21"/>
                <w:lang w:eastAsia="zh-CN"/>
              </w:rPr>
              <w:t>（职称、操作证、从业资格证、</w:t>
            </w:r>
            <w:r>
              <w:rPr>
                <w:rFonts w:cs="Arial"/>
                <w:sz w:val="21"/>
                <w:szCs w:val="21"/>
                <w:lang w:eastAsia="zh-CN"/>
              </w:rPr>
              <w:t>年龄、</w:t>
            </w:r>
            <w:r>
              <w:rPr>
                <w:rFonts w:hint="eastAsia" w:cs="Arial"/>
                <w:sz w:val="21"/>
                <w:szCs w:val="21"/>
                <w:lang w:eastAsia="zh-CN"/>
              </w:rPr>
              <w:t>经验、资历</w:t>
            </w:r>
            <w:r>
              <w:rPr>
                <w:rFonts w:cs="Arial"/>
                <w:sz w:val="21"/>
                <w:szCs w:val="21"/>
                <w:lang w:eastAsia="zh-CN"/>
              </w:rPr>
              <w:t>等</w:t>
            </w:r>
            <w:r>
              <w:rPr>
                <w:rFonts w:hint="eastAsia" w:cs="Arial"/>
                <w:sz w:val="21"/>
                <w:szCs w:val="21"/>
                <w:lang w:eastAsia="zh-CN"/>
              </w:rPr>
              <w:t>方面）</w:t>
            </w:r>
            <w:r>
              <w:rPr>
                <w:rFonts w:cs="Arial"/>
                <w:sz w:val="21"/>
                <w:szCs w:val="21"/>
                <w:lang w:eastAsia="zh-CN"/>
              </w:rPr>
              <w:t>满足招标文件技术要求</w:t>
            </w:r>
            <w:r>
              <w:rPr>
                <w:rFonts w:hint="eastAsia" w:cs="Arial"/>
                <w:sz w:val="21"/>
                <w:szCs w:val="21"/>
                <w:lang w:eastAsia="zh-CN"/>
              </w:rPr>
              <w:t>的程度进行评审并在0-4</w:t>
            </w:r>
            <w:r>
              <w:rPr>
                <w:rFonts w:cs="Arial"/>
                <w:sz w:val="21"/>
                <w:szCs w:val="21"/>
                <w:lang w:eastAsia="zh-CN"/>
              </w:rPr>
              <w:t>分</w:t>
            </w:r>
            <w:r>
              <w:rPr>
                <w:rFonts w:hint="eastAsia" w:cs="Arial"/>
                <w:sz w:val="21"/>
                <w:szCs w:val="21"/>
                <w:lang w:eastAsia="zh-CN"/>
              </w:rPr>
              <w:t>之间评分。</w:t>
            </w:r>
          </w:p>
          <w:p>
            <w:pPr>
              <w:spacing w:line="240" w:lineRule="atLeast"/>
              <w:rPr>
                <w:sz w:val="21"/>
                <w:szCs w:val="21"/>
                <w:lang w:eastAsia="zh-CN"/>
              </w:rPr>
            </w:pPr>
            <w:r>
              <w:rPr>
                <w:rFonts w:hint="eastAsia" w:cs="Arial"/>
                <w:b/>
                <w:bCs/>
                <w:sz w:val="21"/>
                <w:szCs w:val="21"/>
                <w:lang w:eastAsia="zh-CN"/>
              </w:rPr>
              <w:t>注:投标人须附上以上人员的相关证明材料并加盖投标人单位公章。</w:t>
            </w:r>
          </w:p>
        </w:tc>
      </w:tr>
      <w:tr>
        <w:tblPrEx>
          <w:tblCellMar>
            <w:top w:w="0" w:type="dxa"/>
            <w:left w:w="108" w:type="dxa"/>
            <w:bottom w:w="0" w:type="dxa"/>
            <w:right w:w="108" w:type="dxa"/>
          </w:tblCellMar>
        </w:tblPrEx>
        <w:trPr>
          <w:trHeight w:val="562" w:hRule="atLeast"/>
          <w:jc w:val="center"/>
        </w:trPr>
        <w:tc>
          <w:tcPr>
            <w:tcW w:w="553" w:type="dxa"/>
            <w:tcBorders>
              <w:left w:val="single" w:color="auto" w:sz="4" w:space="0"/>
              <w:right w:val="single" w:color="auto" w:sz="4" w:space="0"/>
            </w:tcBorders>
            <w:shd w:val="clear" w:color="auto" w:fill="auto"/>
            <w:vAlign w:val="center"/>
          </w:tcPr>
          <w:p>
            <w:pPr>
              <w:widowControl/>
              <w:spacing w:line="240" w:lineRule="atLeast"/>
              <w:rPr>
                <w:color w:val="000000"/>
                <w:sz w:val="21"/>
                <w:szCs w:val="21"/>
                <w:lang w:eastAsia="zh-CN"/>
              </w:rPr>
            </w:pPr>
          </w:p>
        </w:tc>
        <w:tc>
          <w:tcPr>
            <w:tcW w:w="577" w:type="dxa"/>
            <w:tcBorders>
              <w:left w:val="single" w:color="auto" w:sz="4" w:space="0"/>
              <w:right w:val="single" w:color="auto" w:sz="4" w:space="0"/>
            </w:tcBorders>
            <w:shd w:val="clear" w:color="auto" w:fill="auto"/>
            <w:vAlign w:val="center"/>
          </w:tcPr>
          <w:p>
            <w:pPr>
              <w:widowControl/>
              <w:spacing w:line="240" w:lineRule="atLeast"/>
              <w:rPr>
                <w:color w:val="000000"/>
                <w:sz w:val="21"/>
                <w:szCs w:val="21"/>
                <w:lang w:eastAsia="zh-CN"/>
              </w:rPr>
            </w:pPr>
          </w:p>
        </w:tc>
        <w:tc>
          <w:tcPr>
            <w:tcW w:w="1276" w:type="dxa"/>
            <w:tcBorders>
              <w:top w:val="single" w:color="auto" w:sz="4" w:space="0"/>
              <w:left w:val="nil"/>
              <w:right w:val="single" w:color="auto" w:sz="4" w:space="0"/>
            </w:tcBorders>
            <w:shd w:val="clear" w:color="auto" w:fill="auto"/>
            <w:vAlign w:val="center"/>
          </w:tcPr>
          <w:p>
            <w:pPr>
              <w:widowControl/>
              <w:spacing w:line="240" w:lineRule="atLeast"/>
              <w:textAlignment w:val="center"/>
              <w:rPr>
                <w:sz w:val="21"/>
                <w:szCs w:val="21"/>
              </w:rPr>
            </w:pPr>
            <w:r>
              <w:rPr>
                <w:rFonts w:hint="eastAsia"/>
                <w:b/>
                <w:sz w:val="21"/>
                <w:szCs w:val="21"/>
              </w:rPr>
              <w:t>资源配置情况</w:t>
            </w:r>
          </w:p>
        </w:tc>
        <w:tc>
          <w:tcPr>
            <w:tcW w:w="456" w:type="dxa"/>
            <w:tcBorders>
              <w:top w:val="single" w:color="auto" w:sz="4" w:space="0"/>
              <w:left w:val="nil"/>
              <w:right w:val="single" w:color="auto" w:sz="4" w:space="0"/>
            </w:tcBorders>
            <w:shd w:val="clear" w:color="auto" w:fill="auto"/>
            <w:vAlign w:val="center"/>
          </w:tcPr>
          <w:p>
            <w:pPr>
              <w:widowControl/>
              <w:spacing w:line="240" w:lineRule="atLeast"/>
              <w:jc w:val="center"/>
              <w:textAlignment w:val="center"/>
              <w:rPr>
                <w:color w:val="000000"/>
                <w:sz w:val="21"/>
                <w:szCs w:val="21"/>
              </w:rPr>
            </w:pPr>
            <w:r>
              <w:rPr>
                <w:rFonts w:hint="eastAsia"/>
                <w:color w:val="000000"/>
                <w:sz w:val="21"/>
                <w:szCs w:val="21"/>
              </w:rPr>
              <w:t>2</w:t>
            </w:r>
          </w:p>
        </w:tc>
        <w:tc>
          <w:tcPr>
            <w:tcW w:w="5923" w:type="dxa"/>
            <w:tcBorders>
              <w:top w:val="single" w:color="auto" w:sz="4" w:space="0"/>
              <w:left w:val="nil"/>
              <w:right w:val="single" w:color="auto" w:sz="4" w:space="0"/>
            </w:tcBorders>
            <w:shd w:val="clear" w:color="auto" w:fill="auto"/>
            <w:vAlign w:val="center"/>
          </w:tcPr>
          <w:p>
            <w:pPr>
              <w:spacing w:line="240" w:lineRule="atLeast"/>
              <w:rPr>
                <w:sz w:val="21"/>
                <w:szCs w:val="21"/>
                <w:lang w:eastAsia="zh-CN"/>
              </w:rPr>
            </w:pPr>
            <w:r>
              <w:rPr>
                <w:bCs/>
                <w:sz w:val="21"/>
                <w:szCs w:val="21"/>
              </w:rPr>
              <w:fldChar w:fldCharType="begin"/>
            </w:r>
            <w:r>
              <w:rPr>
                <w:bCs/>
                <w:sz w:val="21"/>
                <w:szCs w:val="21"/>
                <w:lang w:eastAsia="zh-CN"/>
              </w:rPr>
              <w:instrText xml:space="preserve"> </w:instrText>
            </w:r>
            <w:r>
              <w:rPr>
                <w:rFonts w:hint="eastAsia"/>
                <w:bCs/>
                <w:sz w:val="21"/>
                <w:szCs w:val="21"/>
                <w:lang w:eastAsia="zh-CN"/>
              </w:rPr>
              <w:instrText xml:space="preserve">= 1 \* GB3</w:instrText>
            </w:r>
            <w:r>
              <w:rPr>
                <w:bCs/>
                <w:sz w:val="21"/>
                <w:szCs w:val="21"/>
                <w:lang w:eastAsia="zh-CN"/>
              </w:rPr>
              <w:instrText xml:space="preserve"> </w:instrText>
            </w:r>
            <w:r>
              <w:rPr>
                <w:bCs/>
                <w:sz w:val="21"/>
                <w:szCs w:val="21"/>
              </w:rPr>
              <w:fldChar w:fldCharType="separate"/>
            </w:r>
            <w:r>
              <w:rPr>
                <w:rFonts w:hint="eastAsia"/>
                <w:bCs/>
                <w:sz w:val="21"/>
                <w:szCs w:val="21"/>
                <w:lang w:eastAsia="zh-CN"/>
              </w:rPr>
              <w:t>①</w:t>
            </w:r>
            <w:r>
              <w:rPr>
                <w:bCs/>
                <w:sz w:val="21"/>
                <w:szCs w:val="21"/>
              </w:rPr>
              <w:fldChar w:fldCharType="end"/>
            </w:r>
            <w:r>
              <w:rPr>
                <w:rFonts w:hint="eastAsia"/>
                <w:sz w:val="21"/>
                <w:szCs w:val="21"/>
                <w:lang w:eastAsia="zh-CN"/>
              </w:rPr>
              <w:t>根据投标人拟投入本项目的改造用机械、设备齐全性，满足招标文件要求的程度，在0-1分之间评分。</w:t>
            </w:r>
          </w:p>
          <w:p>
            <w:pPr>
              <w:spacing w:line="240" w:lineRule="atLeast"/>
              <w:rPr>
                <w:sz w:val="21"/>
                <w:szCs w:val="21"/>
                <w:lang w:eastAsia="zh-CN"/>
              </w:rPr>
            </w:pPr>
            <w:r>
              <w:rPr>
                <w:bCs/>
                <w:sz w:val="21"/>
                <w:szCs w:val="21"/>
              </w:rPr>
              <w:fldChar w:fldCharType="begin"/>
            </w:r>
            <w:r>
              <w:rPr>
                <w:bCs/>
                <w:sz w:val="21"/>
                <w:szCs w:val="21"/>
                <w:lang w:eastAsia="zh-CN"/>
              </w:rPr>
              <w:instrText xml:space="preserve"> </w:instrText>
            </w:r>
            <w:r>
              <w:rPr>
                <w:rFonts w:hint="eastAsia"/>
                <w:bCs/>
                <w:sz w:val="21"/>
                <w:szCs w:val="21"/>
                <w:lang w:eastAsia="zh-CN"/>
              </w:rPr>
              <w:instrText xml:space="preserve">= 2 \* GB3</w:instrText>
            </w:r>
            <w:r>
              <w:rPr>
                <w:bCs/>
                <w:sz w:val="21"/>
                <w:szCs w:val="21"/>
                <w:lang w:eastAsia="zh-CN"/>
              </w:rPr>
              <w:instrText xml:space="preserve"> </w:instrText>
            </w:r>
            <w:r>
              <w:rPr>
                <w:bCs/>
                <w:sz w:val="21"/>
                <w:szCs w:val="21"/>
              </w:rPr>
              <w:fldChar w:fldCharType="separate"/>
            </w:r>
            <w:r>
              <w:rPr>
                <w:rFonts w:hint="eastAsia"/>
                <w:bCs/>
                <w:sz w:val="21"/>
                <w:szCs w:val="21"/>
                <w:lang w:eastAsia="zh-CN"/>
              </w:rPr>
              <w:t>②</w:t>
            </w:r>
            <w:r>
              <w:rPr>
                <w:bCs/>
                <w:sz w:val="21"/>
                <w:szCs w:val="21"/>
              </w:rPr>
              <w:fldChar w:fldCharType="end"/>
            </w:r>
            <w:r>
              <w:rPr>
                <w:rFonts w:hint="eastAsia"/>
                <w:sz w:val="21"/>
                <w:szCs w:val="21"/>
                <w:lang w:eastAsia="zh-CN"/>
              </w:rPr>
              <w:t>根据投标人拟用于本项目的改造耗材的供给方案进行评分，在0-1分之间评分。</w:t>
            </w:r>
          </w:p>
        </w:tc>
      </w:tr>
      <w:tr>
        <w:tblPrEx>
          <w:tblCellMar>
            <w:top w:w="0" w:type="dxa"/>
            <w:left w:w="108" w:type="dxa"/>
            <w:bottom w:w="0" w:type="dxa"/>
            <w:right w:w="108" w:type="dxa"/>
          </w:tblCellMar>
        </w:tblPrEx>
        <w:trPr>
          <w:trHeight w:val="562" w:hRule="atLeast"/>
          <w:jc w:val="center"/>
        </w:trPr>
        <w:tc>
          <w:tcPr>
            <w:tcW w:w="553" w:type="dxa"/>
            <w:tcBorders>
              <w:left w:val="single" w:color="auto" w:sz="4" w:space="0"/>
              <w:bottom w:val="single" w:color="auto" w:sz="4" w:space="0"/>
              <w:right w:val="single" w:color="auto" w:sz="4" w:space="0"/>
            </w:tcBorders>
            <w:shd w:val="clear" w:color="auto" w:fill="auto"/>
            <w:vAlign w:val="center"/>
          </w:tcPr>
          <w:p>
            <w:pPr>
              <w:widowControl/>
              <w:spacing w:line="240" w:lineRule="atLeast"/>
              <w:rPr>
                <w:color w:val="000000"/>
                <w:sz w:val="21"/>
                <w:szCs w:val="21"/>
                <w:lang w:eastAsia="zh-CN"/>
              </w:rPr>
            </w:pPr>
          </w:p>
        </w:tc>
        <w:tc>
          <w:tcPr>
            <w:tcW w:w="577" w:type="dxa"/>
            <w:tcBorders>
              <w:left w:val="single" w:color="auto" w:sz="4" w:space="0"/>
              <w:bottom w:val="single" w:color="auto" w:sz="4" w:space="0"/>
              <w:right w:val="single" w:color="auto" w:sz="4" w:space="0"/>
            </w:tcBorders>
            <w:shd w:val="clear" w:color="auto" w:fill="auto"/>
            <w:vAlign w:val="center"/>
          </w:tcPr>
          <w:p>
            <w:pPr>
              <w:widowControl/>
              <w:spacing w:line="240" w:lineRule="atLeast"/>
              <w:rPr>
                <w:color w:val="000000"/>
                <w:sz w:val="21"/>
                <w:szCs w:val="21"/>
                <w:lang w:eastAsia="zh-CN"/>
              </w:rPr>
            </w:pP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tLeast"/>
              <w:textAlignment w:val="center"/>
              <w:rPr>
                <w:sz w:val="21"/>
                <w:szCs w:val="21"/>
              </w:rPr>
            </w:pPr>
            <w:r>
              <w:rPr>
                <w:rFonts w:hint="eastAsia"/>
                <w:b/>
                <w:bCs/>
                <w:sz w:val="21"/>
                <w:szCs w:val="21"/>
              </w:rPr>
              <w:t>服务承诺</w:t>
            </w:r>
          </w:p>
        </w:tc>
        <w:tc>
          <w:tcPr>
            <w:tcW w:w="45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tLeast"/>
              <w:jc w:val="center"/>
              <w:textAlignment w:val="center"/>
              <w:rPr>
                <w:color w:val="000000"/>
                <w:sz w:val="21"/>
                <w:szCs w:val="21"/>
              </w:rPr>
            </w:pPr>
            <w:r>
              <w:rPr>
                <w:rFonts w:hint="eastAsia"/>
                <w:color w:val="000000"/>
                <w:sz w:val="21"/>
                <w:szCs w:val="21"/>
              </w:rPr>
              <w:t>2</w:t>
            </w:r>
          </w:p>
        </w:tc>
        <w:tc>
          <w:tcPr>
            <w:tcW w:w="5923" w:type="dxa"/>
            <w:tcBorders>
              <w:top w:val="single" w:color="auto" w:sz="4" w:space="0"/>
              <w:left w:val="nil"/>
              <w:bottom w:val="single" w:color="auto" w:sz="4" w:space="0"/>
              <w:right w:val="single" w:color="auto" w:sz="4" w:space="0"/>
            </w:tcBorders>
            <w:shd w:val="clear" w:color="auto" w:fill="auto"/>
            <w:vAlign w:val="center"/>
          </w:tcPr>
          <w:p>
            <w:pPr>
              <w:spacing w:line="240" w:lineRule="atLeast"/>
              <w:rPr>
                <w:sz w:val="21"/>
                <w:szCs w:val="21"/>
                <w:lang w:eastAsia="zh-CN"/>
              </w:rPr>
            </w:pPr>
            <w:r>
              <w:rPr>
                <w:rFonts w:hint="eastAsia"/>
                <w:sz w:val="21"/>
                <w:szCs w:val="21"/>
                <w:lang w:eastAsia="zh-CN"/>
              </w:rPr>
              <w:t>根据投标人提供的服务承诺及协调沟通方案，要求承诺明确，服务措施详细、具有可操作性的，在0-2分之间评分。</w:t>
            </w:r>
          </w:p>
        </w:tc>
      </w:tr>
    </w:tbl>
    <w:p>
      <w:pPr>
        <w:spacing w:line="460" w:lineRule="exact"/>
        <w:ind w:firstLine="482" w:firstLineChars="200"/>
        <w:rPr>
          <w:b/>
          <w:bCs/>
          <w:sz w:val="24"/>
          <w:szCs w:val="24"/>
          <w:lang w:eastAsia="zh-CN"/>
        </w:rPr>
      </w:pPr>
      <w:r>
        <w:rPr>
          <w:rFonts w:hint="eastAsia"/>
          <w:b/>
          <w:bCs/>
          <w:sz w:val="24"/>
          <w:szCs w:val="24"/>
          <w:lang w:eastAsia="zh-CN"/>
        </w:rPr>
        <w:t>II、商务报价</w:t>
      </w:r>
      <w:r>
        <w:rPr>
          <w:b/>
          <w:bCs/>
          <w:sz w:val="24"/>
          <w:szCs w:val="24"/>
          <w:lang w:eastAsia="zh-CN"/>
        </w:rPr>
        <w:t>部分评分</w:t>
      </w:r>
      <w:r>
        <w:rPr>
          <w:rFonts w:hint="eastAsia"/>
          <w:b/>
          <w:bCs/>
          <w:sz w:val="24"/>
          <w:szCs w:val="24"/>
          <w:lang w:eastAsia="zh-CN"/>
        </w:rPr>
        <w:t xml:space="preserve">         满分</w:t>
      </w:r>
      <w:r>
        <w:rPr>
          <w:b/>
          <w:bCs/>
          <w:sz w:val="24"/>
          <w:szCs w:val="24"/>
          <w:lang w:eastAsia="zh-CN"/>
        </w:rPr>
        <w:t>6</w:t>
      </w:r>
      <w:r>
        <w:rPr>
          <w:rFonts w:hint="eastAsia"/>
          <w:b/>
          <w:bCs/>
          <w:sz w:val="24"/>
          <w:szCs w:val="24"/>
          <w:lang w:eastAsia="zh-CN"/>
        </w:rPr>
        <w:t>0分</w:t>
      </w:r>
    </w:p>
    <w:p>
      <w:pPr>
        <w:pStyle w:val="25"/>
        <w:spacing w:before="210" w:line="360" w:lineRule="auto"/>
        <w:ind w:left="120" w:right="222"/>
        <w:rPr>
          <w:b/>
          <w:spacing w:val="-11"/>
          <w:lang w:eastAsia="zh-CN"/>
        </w:rPr>
      </w:pPr>
      <w:r>
        <w:rPr>
          <w:rFonts w:hint="eastAsia"/>
          <w:b/>
          <w:spacing w:val="-11"/>
          <w:lang w:eastAsia="zh-CN"/>
        </w:rPr>
        <w:t>各参选人报价部分评分按照以下公式计算，计算分数时均</w:t>
      </w:r>
      <w:r>
        <w:rPr>
          <w:rFonts w:hint="eastAsia"/>
          <w:b/>
          <w:spacing w:val="-2"/>
          <w:lang w:eastAsia="zh-CN"/>
        </w:rPr>
        <w:t>四舍五入取小数点后2位数。</w:t>
      </w:r>
    </w:p>
    <w:p>
      <w:pPr>
        <w:spacing w:line="360" w:lineRule="auto"/>
        <w:ind w:firstLine="602" w:firstLineChars="250"/>
        <w:rPr>
          <w:b/>
          <w:sz w:val="24"/>
          <w:szCs w:val="24"/>
          <w:lang w:eastAsia="zh-CN"/>
        </w:rPr>
      </w:pPr>
      <w:r>
        <w:rPr>
          <w:rFonts w:hint="eastAsia"/>
          <w:b/>
          <w:sz w:val="24"/>
          <w:szCs w:val="24"/>
          <w:lang w:eastAsia="zh-CN"/>
        </w:rPr>
        <w:t>评标委员会将按下列方法计算合格参选人的报价部分得分</w:t>
      </w:r>
      <w:r>
        <w:rPr>
          <w:rFonts w:hint="eastAsia"/>
          <w:b/>
          <w:spacing w:val="-2"/>
          <w:sz w:val="24"/>
          <w:szCs w:val="24"/>
          <w:lang w:eastAsia="zh-CN"/>
        </w:rPr>
        <w:t>：</w:t>
      </w:r>
    </w:p>
    <w:p>
      <w:pPr>
        <w:spacing w:line="360" w:lineRule="auto"/>
        <w:ind w:firstLine="1687" w:firstLineChars="700"/>
        <w:rPr>
          <w:b/>
          <w:sz w:val="24"/>
          <w:szCs w:val="24"/>
          <w:lang w:eastAsia="zh-CN"/>
        </w:rPr>
      </w:pPr>
      <w:r>
        <w:rPr>
          <w:rFonts w:hint="eastAsia"/>
          <w:b/>
          <w:sz w:val="24"/>
          <w:szCs w:val="24"/>
          <w:lang w:eastAsia="zh-CN"/>
        </w:rPr>
        <w:t>PF=( F</w:t>
      </w:r>
      <w:r>
        <w:rPr>
          <w:rFonts w:hint="eastAsia"/>
          <w:b/>
          <w:sz w:val="24"/>
          <w:szCs w:val="24"/>
          <w:vertAlign w:val="subscript"/>
          <w:lang w:eastAsia="zh-CN"/>
        </w:rPr>
        <w:t>低</w:t>
      </w:r>
      <w:r>
        <w:rPr>
          <w:rFonts w:hint="eastAsia"/>
          <w:b/>
          <w:sz w:val="24"/>
          <w:szCs w:val="24"/>
          <w:lang w:eastAsia="zh-CN"/>
        </w:rPr>
        <w:t>/ F</w:t>
      </w:r>
      <w:r>
        <w:rPr>
          <w:rFonts w:hint="eastAsia"/>
          <w:b/>
          <w:sz w:val="24"/>
          <w:szCs w:val="24"/>
          <w:vertAlign w:val="subscript"/>
          <w:lang w:eastAsia="zh-CN"/>
        </w:rPr>
        <w:t>n</w:t>
      </w:r>
      <w:r>
        <w:rPr>
          <w:rFonts w:hint="eastAsia"/>
          <w:b/>
          <w:sz w:val="24"/>
          <w:szCs w:val="24"/>
          <w:lang w:eastAsia="zh-CN"/>
        </w:rPr>
        <w:t>)×</w:t>
      </w:r>
      <w:r>
        <w:rPr>
          <w:b/>
          <w:sz w:val="24"/>
          <w:szCs w:val="24"/>
          <w:lang w:eastAsia="zh-CN"/>
        </w:rPr>
        <w:t>6</w:t>
      </w:r>
      <w:r>
        <w:rPr>
          <w:rFonts w:hint="eastAsia"/>
          <w:b/>
          <w:sz w:val="24"/>
          <w:szCs w:val="24"/>
          <w:lang w:eastAsia="zh-CN"/>
        </w:rPr>
        <w:t>0</w:t>
      </w:r>
    </w:p>
    <w:p>
      <w:pPr>
        <w:spacing w:line="360" w:lineRule="auto"/>
        <w:rPr>
          <w:b/>
          <w:sz w:val="24"/>
          <w:szCs w:val="24"/>
          <w:lang w:eastAsia="zh-CN"/>
        </w:rPr>
      </w:pPr>
      <w:r>
        <w:rPr>
          <w:rFonts w:hint="eastAsia"/>
          <w:b/>
          <w:sz w:val="24"/>
          <w:lang w:eastAsia="zh-CN"/>
        </w:rPr>
        <w:t>式中：</w:t>
      </w:r>
      <w:r>
        <w:rPr>
          <w:rFonts w:hint="eastAsia"/>
          <w:b/>
          <w:sz w:val="24"/>
          <w:szCs w:val="24"/>
          <w:lang w:eastAsia="zh-CN"/>
        </w:rPr>
        <w:t>①PF为投标价格得分。</w:t>
      </w:r>
    </w:p>
    <w:p>
      <w:pPr>
        <w:spacing w:line="360" w:lineRule="auto"/>
        <w:ind w:firstLine="723" w:firstLineChars="300"/>
        <w:rPr>
          <w:b/>
          <w:sz w:val="24"/>
          <w:szCs w:val="24"/>
          <w:lang w:eastAsia="zh-CN"/>
        </w:rPr>
      </w:pPr>
      <w:r>
        <w:rPr>
          <w:rFonts w:hint="eastAsia"/>
          <w:b/>
          <w:sz w:val="24"/>
          <w:szCs w:val="24"/>
          <w:lang w:eastAsia="zh-CN"/>
        </w:rPr>
        <w:t>②F低为评标基准价=进入报价部分评分的各合格参选人中最低的报价评标价。</w:t>
      </w:r>
    </w:p>
    <w:p>
      <w:pPr>
        <w:pStyle w:val="2"/>
        <w:spacing w:line="360" w:lineRule="auto"/>
        <w:ind w:firstLine="723" w:firstLineChars="300"/>
        <w:rPr>
          <w:sz w:val="24"/>
          <w:szCs w:val="24"/>
        </w:rPr>
      </w:pPr>
      <w:r>
        <w:rPr>
          <w:rFonts w:hint="eastAsia" w:hAnsi="宋体" w:cs="宋体"/>
          <w:b/>
          <w:sz w:val="24"/>
          <w:szCs w:val="24"/>
        </w:rPr>
        <w:t>③Fn为进入报价部分评分的各合格参选人的报价评标价。</w:t>
      </w:r>
    </w:p>
    <w:p>
      <w:pPr>
        <w:spacing w:before="15" w:line="360" w:lineRule="auto"/>
        <w:ind w:firstLine="534" w:firstLineChars="200"/>
        <w:rPr>
          <w:b/>
          <w:w w:val="95"/>
          <w:sz w:val="28"/>
          <w:lang w:eastAsia="zh-CN"/>
        </w:rPr>
      </w:pPr>
      <w:r>
        <w:rPr>
          <w:b/>
          <w:w w:val="95"/>
          <w:sz w:val="28"/>
          <w:lang w:eastAsia="zh-CN"/>
        </w:rPr>
        <w:t>四、以下情况作废选处理</w:t>
      </w:r>
    </w:p>
    <w:p>
      <w:pPr>
        <w:pStyle w:val="25"/>
        <w:spacing w:line="360" w:lineRule="auto"/>
        <w:ind w:right="121" w:firstLine="480" w:firstLineChars="200"/>
        <w:jc w:val="both"/>
        <w:rPr>
          <w:lang w:eastAsia="zh-CN"/>
        </w:rPr>
      </w:pPr>
      <w:r>
        <w:rPr>
          <w:lang w:eastAsia="zh-CN"/>
        </w:rPr>
        <w:t>1.对比选文件提出的实质性要求和条件，参选文件未能在实质上响应的。</w:t>
      </w:r>
    </w:p>
    <w:p>
      <w:pPr>
        <w:pStyle w:val="25"/>
        <w:spacing w:line="360" w:lineRule="auto"/>
        <w:ind w:right="121" w:firstLine="480" w:firstLineChars="200"/>
        <w:jc w:val="both"/>
        <w:rPr>
          <w:lang w:eastAsia="zh-CN"/>
        </w:rPr>
      </w:pPr>
      <w:r>
        <w:rPr>
          <w:lang w:eastAsia="zh-CN"/>
        </w:rPr>
        <w:t>2.参选文件存在重大偏差的。</w:t>
      </w:r>
    </w:p>
    <w:p>
      <w:pPr>
        <w:pStyle w:val="25"/>
        <w:spacing w:line="360" w:lineRule="auto"/>
        <w:ind w:right="121" w:firstLine="480" w:firstLineChars="200"/>
        <w:jc w:val="both"/>
        <w:rPr>
          <w:lang w:eastAsia="zh-CN"/>
        </w:rPr>
      </w:pPr>
      <w:r>
        <w:rPr>
          <w:rFonts w:hint="eastAsia"/>
          <w:lang w:eastAsia="zh-CN"/>
        </w:rPr>
        <w:t>3</w:t>
      </w:r>
      <w:r>
        <w:rPr>
          <w:lang w:eastAsia="zh-CN"/>
        </w:rPr>
        <w:t>.违反规定影响开选评选工作或采取其他方式对比选人施加影响的。</w:t>
      </w:r>
    </w:p>
    <w:p>
      <w:pPr>
        <w:pStyle w:val="25"/>
        <w:spacing w:line="360" w:lineRule="auto"/>
        <w:ind w:right="121" w:firstLine="480" w:firstLineChars="200"/>
        <w:jc w:val="both"/>
        <w:rPr>
          <w:lang w:eastAsia="zh-CN"/>
        </w:rPr>
      </w:pPr>
      <w:r>
        <w:rPr>
          <w:rFonts w:hint="eastAsia"/>
          <w:lang w:eastAsia="zh-CN"/>
        </w:rPr>
        <w:t>4</w:t>
      </w:r>
      <w:r>
        <w:rPr>
          <w:lang w:eastAsia="zh-CN"/>
        </w:rPr>
        <w:t>.参选人串标、相互勾结故意压低标价以排挤竞争对手的公平竞争的，其参选无效。</w:t>
      </w:r>
    </w:p>
    <w:p>
      <w:pPr>
        <w:spacing w:before="15" w:line="360" w:lineRule="auto"/>
        <w:ind w:firstLine="534" w:firstLineChars="200"/>
        <w:rPr>
          <w:b/>
          <w:w w:val="95"/>
          <w:sz w:val="28"/>
          <w:lang w:eastAsia="zh-CN"/>
        </w:rPr>
      </w:pPr>
      <w:r>
        <w:rPr>
          <w:b/>
          <w:w w:val="95"/>
          <w:sz w:val="28"/>
          <w:lang w:eastAsia="zh-CN"/>
        </w:rPr>
        <w:t>五、评选</w:t>
      </w:r>
    </w:p>
    <w:p>
      <w:pPr>
        <w:pStyle w:val="25"/>
        <w:spacing w:line="360" w:lineRule="auto"/>
        <w:ind w:right="121" w:firstLine="480" w:firstLineChars="200"/>
        <w:jc w:val="both"/>
        <w:rPr>
          <w:lang w:eastAsia="zh-CN"/>
        </w:rPr>
      </w:pPr>
      <w:r>
        <w:rPr>
          <w:lang w:eastAsia="zh-CN"/>
        </w:rPr>
        <w:t>1.比选人将在参选文件截止日期后另行择日组织比选会，参选人选定工作在比选人有关部门监督下，由比选人依法组建的评选委员会负责。</w:t>
      </w:r>
    </w:p>
    <w:p>
      <w:pPr>
        <w:pStyle w:val="25"/>
        <w:spacing w:line="360" w:lineRule="auto"/>
        <w:ind w:right="121" w:firstLine="480" w:firstLineChars="200"/>
        <w:jc w:val="both"/>
        <w:rPr>
          <w:lang w:eastAsia="zh-CN"/>
        </w:rPr>
      </w:pPr>
      <w:r>
        <w:rPr>
          <w:lang w:eastAsia="zh-CN"/>
        </w:rPr>
        <w:t>2.在开选时没有启封和读出的参选文件，在评选时将不予考虑。</w:t>
      </w:r>
    </w:p>
    <w:p>
      <w:pPr>
        <w:pStyle w:val="25"/>
        <w:spacing w:line="360" w:lineRule="auto"/>
        <w:ind w:right="121" w:firstLine="480" w:firstLineChars="200"/>
        <w:jc w:val="both"/>
        <w:rPr>
          <w:lang w:eastAsia="zh-CN"/>
        </w:rPr>
      </w:pPr>
      <w:r>
        <w:rPr>
          <w:lang w:eastAsia="zh-CN"/>
        </w:rPr>
        <w:t>3.比选人将做开选记录。</w:t>
      </w:r>
    </w:p>
    <w:p>
      <w:pPr>
        <w:pStyle w:val="25"/>
        <w:spacing w:line="360" w:lineRule="auto"/>
        <w:ind w:right="121" w:firstLine="480" w:firstLineChars="200"/>
        <w:jc w:val="both"/>
        <w:rPr>
          <w:lang w:eastAsia="zh-CN"/>
        </w:rPr>
      </w:pPr>
      <w:r>
        <w:rPr>
          <w:rFonts w:hint="eastAsia"/>
          <w:lang w:eastAsia="zh-CN"/>
        </w:rPr>
        <w:t>4.业主将根据评选结果与中选人签订合同。</w:t>
      </w:r>
    </w:p>
    <w:p>
      <w:pPr>
        <w:widowControl/>
        <w:autoSpaceDE/>
        <w:autoSpaceDN/>
        <w:rPr>
          <w:lang w:eastAsia="zh-CN"/>
        </w:rPr>
      </w:pPr>
      <w:r>
        <w:rPr>
          <w:lang w:eastAsia="zh-CN"/>
        </w:rPr>
        <w:br w:type="page"/>
      </w:r>
    </w:p>
    <w:p>
      <w:pPr>
        <w:spacing w:before="15" w:line="360" w:lineRule="auto"/>
        <w:jc w:val="center"/>
        <w:rPr>
          <w:b/>
          <w:w w:val="95"/>
          <w:sz w:val="28"/>
          <w:lang w:eastAsia="zh-CN"/>
        </w:rPr>
      </w:pPr>
      <w:r>
        <w:rPr>
          <w:b/>
          <w:w w:val="95"/>
          <w:sz w:val="28"/>
          <w:lang w:eastAsia="zh-CN"/>
        </w:rPr>
        <w:t>第五章  合同授予</w:t>
      </w:r>
    </w:p>
    <w:p>
      <w:pPr>
        <w:pStyle w:val="25"/>
        <w:spacing w:line="360" w:lineRule="auto"/>
        <w:ind w:right="121" w:firstLine="480" w:firstLineChars="200"/>
        <w:jc w:val="both"/>
        <w:rPr>
          <w:lang w:eastAsia="zh-CN"/>
        </w:rPr>
      </w:pPr>
      <w:r>
        <w:rPr>
          <w:lang w:eastAsia="zh-CN"/>
        </w:rPr>
        <w:t>1.比选人将把合同授予中选人；在授予前，仍需进行资格审查。</w:t>
      </w:r>
    </w:p>
    <w:p>
      <w:pPr>
        <w:pStyle w:val="25"/>
        <w:spacing w:line="360" w:lineRule="auto"/>
        <w:ind w:right="121" w:firstLine="480" w:firstLineChars="200"/>
        <w:jc w:val="both"/>
        <w:rPr>
          <w:lang w:eastAsia="zh-CN"/>
        </w:rPr>
      </w:pPr>
      <w:r>
        <w:rPr>
          <w:lang w:eastAsia="zh-CN"/>
        </w:rPr>
        <w:t>2.中选人确定后，比选人将通知中选人，并将中选结果公示在比选人集团官网。</w:t>
      </w:r>
    </w:p>
    <w:p>
      <w:pPr>
        <w:pStyle w:val="25"/>
        <w:spacing w:line="360" w:lineRule="auto"/>
        <w:ind w:right="121" w:firstLine="480" w:firstLineChars="200"/>
        <w:jc w:val="both"/>
        <w:rPr>
          <w:lang w:eastAsia="zh-CN"/>
        </w:rPr>
      </w:pPr>
      <w:r>
        <w:rPr>
          <w:lang w:eastAsia="zh-CN"/>
        </w:rPr>
        <w:t>3.中选通知对比选人和参选人具有法律效力。</w:t>
      </w:r>
      <w:r>
        <w:rPr>
          <w:rStyle w:val="63"/>
          <w:rFonts w:hint="eastAsia"/>
          <w:color w:val="FF0000"/>
          <w:sz w:val="22"/>
          <w:lang w:eastAsia="zh-CN"/>
        </w:rPr>
        <w:t>福建福海创石油化工有限公司的权属子公司“</w:t>
      </w:r>
      <w:r>
        <w:rPr>
          <w:rStyle w:val="63"/>
          <w:rFonts w:hint="eastAsia"/>
          <w:color w:val="FF0000"/>
          <w:lang w:eastAsia="zh-CN"/>
        </w:rPr>
        <w:t>腾龙芳烃（漳州）有限公司</w:t>
      </w:r>
      <w:r>
        <w:rPr>
          <w:rStyle w:val="63"/>
          <w:rFonts w:hint="eastAsia"/>
          <w:color w:val="FF0000"/>
          <w:sz w:val="22"/>
          <w:lang w:eastAsia="zh-CN"/>
        </w:rPr>
        <w:t>”将作为合同执行主体，将于中选结果公示流程结束之日起30日内与中选人完成合同签订事宜。</w:t>
      </w:r>
      <w:r>
        <w:rPr>
          <w:lang w:eastAsia="zh-CN"/>
        </w:rPr>
        <w:t>若因中选单位原因未在规定的时间和地点与比选人签署合同，比选人有权单方取消中选单位的资格。同时，由此给比选人造成的损失，比选人有权追究中选单位的全部责任。</w:t>
      </w:r>
    </w:p>
    <w:p>
      <w:pPr>
        <w:pStyle w:val="25"/>
        <w:spacing w:line="360" w:lineRule="auto"/>
        <w:ind w:right="121" w:firstLine="480" w:firstLineChars="200"/>
        <w:jc w:val="both"/>
        <w:rPr>
          <w:lang w:eastAsia="zh-CN"/>
        </w:rPr>
      </w:pPr>
      <w:r>
        <w:rPr>
          <w:lang w:eastAsia="zh-CN"/>
        </w:rPr>
        <w:t>4.中选人签署合同后必须履行合同要求。若因中选单位原因未在规定的时间内完成</w:t>
      </w:r>
      <w:r>
        <w:rPr>
          <w:rFonts w:hint="eastAsia"/>
          <w:lang w:eastAsia="zh-CN"/>
        </w:rPr>
        <w:t>合同</w:t>
      </w:r>
      <w:r>
        <w:rPr>
          <w:lang w:eastAsia="zh-CN"/>
        </w:rPr>
        <w:t>约定等相关工作，则比选人有权单方面取消中选单位的资格。并取消参选人三年内在比选人的业务中的参选资格，由此给比选人造成的损失，比选人有权追究中选方的全部责任。</w:t>
      </w:r>
    </w:p>
    <w:p>
      <w:pPr>
        <w:pStyle w:val="25"/>
        <w:spacing w:line="360" w:lineRule="auto"/>
        <w:ind w:right="121" w:firstLine="480" w:firstLineChars="200"/>
        <w:jc w:val="both"/>
        <w:rPr>
          <w:lang w:eastAsia="zh-CN"/>
        </w:rPr>
      </w:pPr>
      <w:r>
        <w:rPr>
          <w:lang w:eastAsia="zh-CN"/>
        </w:rPr>
        <w:t>5.比选文件与合同附件作为签订合同的条款，比选文件合同条款中没有规定的内容， 比选人、参选人认为有必要进行补充，可另行商定解决。</w:t>
      </w:r>
    </w:p>
    <w:p>
      <w:pPr>
        <w:pStyle w:val="25"/>
        <w:spacing w:line="360" w:lineRule="auto"/>
        <w:ind w:right="121" w:firstLine="480" w:firstLineChars="200"/>
        <w:jc w:val="both"/>
        <w:rPr>
          <w:lang w:eastAsia="zh-CN"/>
        </w:rPr>
      </w:pPr>
      <w:r>
        <w:rPr>
          <w:lang w:eastAsia="zh-CN"/>
        </w:rPr>
        <w:t>6.接受和拒绝任何或所有参选的权利：比选机构和比选人保留在授标之前任何时候接受或拒绝任何比选，以及宣布比选程序无效或拒绝所有参选的权利，对受影响的参选人不承担任何责任。</w:t>
      </w:r>
    </w:p>
    <w:p>
      <w:pPr>
        <w:rPr>
          <w:lang w:eastAsia="zh-CN"/>
        </w:rPr>
      </w:pPr>
    </w:p>
    <w:p>
      <w:pPr>
        <w:rPr>
          <w:lang w:eastAsia="zh-CN"/>
        </w:rPr>
      </w:pPr>
    </w:p>
    <w:p>
      <w:pPr>
        <w:rPr>
          <w:lang w:eastAsia="zh-CN"/>
        </w:rPr>
      </w:pPr>
    </w:p>
    <w:p>
      <w:pPr>
        <w:rPr>
          <w:lang w:eastAsia="zh-CN"/>
        </w:rPr>
      </w:pPr>
    </w:p>
    <w:p>
      <w:pPr>
        <w:widowControl/>
        <w:autoSpaceDE/>
        <w:autoSpaceDN/>
        <w:rPr>
          <w:lang w:eastAsia="zh-CN"/>
        </w:rPr>
      </w:pPr>
      <w:r>
        <w:rPr>
          <w:lang w:eastAsia="zh-CN"/>
        </w:rPr>
        <w:br w:type="page"/>
      </w:r>
    </w:p>
    <w:p>
      <w:pPr>
        <w:spacing w:before="15" w:line="360" w:lineRule="auto"/>
        <w:jc w:val="center"/>
        <w:rPr>
          <w:b/>
          <w:w w:val="95"/>
          <w:sz w:val="28"/>
          <w:lang w:eastAsia="zh-CN"/>
        </w:rPr>
      </w:pPr>
      <w:r>
        <w:rPr>
          <w:b/>
          <w:w w:val="95"/>
          <w:sz w:val="28"/>
          <w:lang w:eastAsia="zh-CN"/>
        </w:rPr>
        <w:t>第六章</w:t>
      </w:r>
      <w:r>
        <w:rPr>
          <w:rFonts w:hint="eastAsia"/>
          <w:b/>
          <w:w w:val="95"/>
          <w:sz w:val="28"/>
          <w:lang w:eastAsia="zh-CN"/>
        </w:rPr>
        <w:t xml:space="preserve">  </w:t>
      </w:r>
      <w:r>
        <w:rPr>
          <w:b/>
          <w:w w:val="95"/>
          <w:sz w:val="28"/>
          <w:lang w:eastAsia="zh-CN"/>
        </w:rPr>
        <w:t>中选后相关履约要求</w:t>
      </w:r>
    </w:p>
    <w:p>
      <w:pPr>
        <w:pStyle w:val="25"/>
        <w:spacing w:line="360" w:lineRule="auto"/>
        <w:ind w:right="121" w:firstLine="480" w:firstLineChars="200"/>
        <w:jc w:val="both"/>
        <w:rPr>
          <w:lang w:eastAsia="zh-CN"/>
        </w:rPr>
      </w:pPr>
      <w:r>
        <w:rPr>
          <w:lang w:eastAsia="zh-CN"/>
        </w:rPr>
        <w:t>1.中选单位要服从比选人的管理规定，不得影响比选人的生产运行，如有违反，取消中选单位的继续履行合同的资格，同时，由此给比选人造成的损失，比选人有权追究中选单位的全部责任。</w:t>
      </w:r>
    </w:p>
    <w:p>
      <w:pPr>
        <w:pStyle w:val="25"/>
        <w:spacing w:line="360" w:lineRule="auto"/>
        <w:ind w:right="121" w:firstLine="480" w:firstLineChars="200"/>
        <w:jc w:val="both"/>
        <w:rPr>
          <w:lang w:eastAsia="zh-CN"/>
        </w:rPr>
      </w:pPr>
      <w:r>
        <w:rPr>
          <w:lang w:eastAsia="zh-CN"/>
        </w:rPr>
        <w:t>2.中选单位必须严格执行</w:t>
      </w:r>
      <w:r>
        <w:rPr>
          <w:rFonts w:hint="eastAsia"/>
          <w:lang w:eastAsia="zh-CN"/>
        </w:rPr>
        <w:t>比选文件中合同</w:t>
      </w:r>
      <w:r>
        <w:rPr>
          <w:lang w:eastAsia="zh-CN"/>
        </w:rPr>
        <w:t>（详见附件一）的规定。</w:t>
      </w:r>
    </w:p>
    <w:p>
      <w:pPr>
        <w:pStyle w:val="25"/>
        <w:spacing w:line="360" w:lineRule="auto"/>
        <w:ind w:right="121" w:firstLine="480" w:firstLineChars="200"/>
        <w:jc w:val="both"/>
        <w:rPr>
          <w:lang w:eastAsia="zh-CN"/>
        </w:rPr>
      </w:pPr>
      <w:r>
        <w:rPr>
          <w:lang w:eastAsia="zh-CN"/>
        </w:rPr>
        <w:t>3.中选单位需遵守比选人的各项管理规章制度。如违反相关条例者则按福建福海创石油化工有限公司相应条款进行处罚。</w:t>
      </w:r>
    </w:p>
    <w:p>
      <w:pPr>
        <w:spacing w:before="15" w:line="360" w:lineRule="auto"/>
        <w:jc w:val="center"/>
        <w:rPr>
          <w:b/>
          <w:w w:val="95"/>
          <w:sz w:val="28"/>
          <w:lang w:eastAsia="zh-CN"/>
        </w:rPr>
      </w:pPr>
    </w:p>
    <w:p>
      <w:pPr>
        <w:spacing w:before="15" w:line="360" w:lineRule="auto"/>
        <w:jc w:val="center"/>
        <w:rPr>
          <w:b/>
          <w:w w:val="95"/>
          <w:sz w:val="28"/>
          <w:lang w:eastAsia="zh-CN"/>
        </w:rPr>
      </w:pPr>
    </w:p>
    <w:p>
      <w:pPr>
        <w:spacing w:before="15" w:line="360" w:lineRule="auto"/>
        <w:jc w:val="center"/>
        <w:rPr>
          <w:b/>
          <w:w w:val="95"/>
          <w:sz w:val="28"/>
          <w:lang w:eastAsia="zh-CN"/>
        </w:rPr>
      </w:pPr>
      <w:r>
        <w:rPr>
          <w:b/>
          <w:w w:val="95"/>
          <w:sz w:val="28"/>
          <w:lang w:eastAsia="zh-CN"/>
        </w:rPr>
        <w:t>第七章</w:t>
      </w:r>
      <w:r>
        <w:rPr>
          <w:b/>
          <w:w w:val="95"/>
          <w:sz w:val="28"/>
          <w:lang w:eastAsia="zh-CN"/>
        </w:rPr>
        <w:tab/>
      </w:r>
      <w:r>
        <w:rPr>
          <w:b/>
          <w:w w:val="95"/>
          <w:sz w:val="28"/>
          <w:lang w:eastAsia="zh-CN"/>
        </w:rPr>
        <w:t>其它</w:t>
      </w:r>
    </w:p>
    <w:p>
      <w:pPr>
        <w:pStyle w:val="25"/>
        <w:spacing w:line="360" w:lineRule="auto"/>
        <w:ind w:right="121" w:firstLine="480" w:firstLineChars="200"/>
        <w:jc w:val="both"/>
        <w:rPr>
          <w:lang w:eastAsia="zh-CN"/>
        </w:rPr>
      </w:pPr>
      <w:r>
        <w:rPr>
          <w:lang w:eastAsia="zh-CN"/>
        </w:rPr>
        <w:t>1.参选人的参选文件无论其是否中选，均不退回。</w:t>
      </w:r>
    </w:p>
    <w:p>
      <w:pPr>
        <w:pStyle w:val="25"/>
        <w:spacing w:line="360" w:lineRule="auto"/>
        <w:ind w:right="121" w:firstLine="480" w:firstLineChars="200"/>
        <w:jc w:val="both"/>
        <w:rPr>
          <w:lang w:eastAsia="zh-CN"/>
        </w:rPr>
      </w:pPr>
      <w:r>
        <w:rPr>
          <w:lang w:eastAsia="zh-CN"/>
        </w:rPr>
        <w:t>2.比选人郑重承诺：参选人所提交的参选文件及相关资料不向第三方泄露。</w:t>
      </w:r>
    </w:p>
    <w:p>
      <w:pPr>
        <w:pStyle w:val="25"/>
        <w:spacing w:line="360" w:lineRule="auto"/>
        <w:ind w:right="121" w:firstLine="480" w:firstLineChars="200"/>
        <w:jc w:val="both"/>
        <w:rPr>
          <w:lang w:eastAsia="zh-CN"/>
        </w:rPr>
      </w:pPr>
      <w:r>
        <w:rPr>
          <w:lang w:eastAsia="zh-CN"/>
        </w:rPr>
        <w:t>3.本比选文件的解释权归福建福海创石油化工有限公司。</w:t>
      </w:r>
    </w:p>
    <w:p>
      <w:pPr>
        <w:pStyle w:val="25"/>
        <w:spacing w:line="360" w:lineRule="auto"/>
        <w:ind w:left="215"/>
        <w:rPr>
          <w:lang w:eastAsia="zh-CN"/>
        </w:rPr>
      </w:pPr>
      <w:r>
        <w:rPr>
          <w:lang w:eastAsia="zh-CN"/>
        </w:rPr>
        <w:br w:type="page"/>
      </w:r>
    </w:p>
    <w:p>
      <w:pPr>
        <w:pStyle w:val="25"/>
        <w:rPr>
          <w:rFonts w:ascii="Times New Roman"/>
          <w:b/>
          <w:bCs/>
          <w:lang w:eastAsia="zh-CN"/>
        </w:rPr>
      </w:pPr>
      <w:r>
        <w:rPr>
          <w:rFonts w:hint="eastAsia" w:ascii="Times New Roman"/>
          <w:b/>
          <w:bCs/>
          <w:lang w:eastAsia="zh-CN"/>
        </w:rPr>
        <w:t>附件一、合同格式书</w:t>
      </w:r>
    </w:p>
    <w:p>
      <w:pPr>
        <w:spacing w:before="120" w:beforeLines="50" w:after="120" w:afterLines="50"/>
        <w:jc w:val="center"/>
        <w:rPr>
          <w:b/>
          <w:sz w:val="36"/>
          <w:szCs w:val="36"/>
          <w:lang w:eastAsia="zh-CN"/>
        </w:rPr>
      </w:pPr>
      <w:r>
        <w:rPr>
          <w:rFonts w:hint="eastAsia"/>
          <w:b/>
          <w:sz w:val="36"/>
          <w:szCs w:val="36"/>
          <w:lang w:eastAsia="zh-CN"/>
        </w:rPr>
        <w:t>锅炉火检风源管改造工程合同</w:t>
      </w:r>
    </w:p>
    <w:p>
      <w:pPr>
        <w:spacing w:before="120" w:beforeLines="50" w:after="120" w:afterLines="50"/>
        <w:jc w:val="center"/>
        <w:rPr>
          <w:b/>
          <w:sz w:val="24"/>
          <w:szCs w:val="24"/>
          <w:lang w:eastAsia="zh-CN"/>
        </w:rPr>
      </w:pPr>
      <w:r>
        <w:rPr>
          <w:rFonts w:hint="eastAsia"/>
          <w:b/>
          <w:sz w:val="24"/>
          <w:szCs w:val="24"/>
          <w:lang w:eastAsia="zh-CN"/>
        </w:rPr>
        <w:t xml:space="preserve"> </w:t>
      </w:r>
      <w:r>
        <w:rPr>
          <w:b/>
          <w:sz w:val="24"/>
          <w:szCs w:val="24"/>
          <w:lang w:eastAsia="zh-CN"/>
        </w:rPr>
        <w:t xml:space="preserve">                    合同编号：</w:t>
      </w:r>
    </w:p>
    <w:p>
      <w:pPr>
        <w:spacing w:before="120" w:beforeLines="50" w:after="120" w:afterLines="50"/>
        <w:ind w:right="723"/>
        <w:jc w:val="right"/>
        <w:rPr>
          <w:b/>
          <w:sz w:val="24"/>
          <w:szCs w:val="24"/>
          <w:lang w:eastAsia="zh-CN"/>
        </w:rPr>
      </w:pPr>
      <w:r>
        <w:rPr>
          <w:b/>
          <w:sz w:val="24"/>
          <w:szCs w:val="24"/>
          <w:lang w:eastAsia="zh-CN"/>
        </w:rPr>
        <w:t>合同签订日期：</w:t>
      </w:r>
      <w:r>
        <w:rPr>
          <w:rFonts w:hint="eastAsia"/>
          <w:b/>
          <w:sz w:val="24"/>
          <w:szCs w:val="24"/>
          <w:lang w:eastAsia="zh-CN"/>
        </w:rPr>
        <w:t xml:space="preserve"> </w:t>
      </w:r>
      <w:r>
        <w:rPr>
          <w:b/>
          <w:sz w:val="24"/>
          <w:szCs w:val="24"/>
          <w:lang w:eastAsia="zh-CN"/>
        </w:rPr>
        <w:t xml:space="preserve"> 年</w:t>
      </w:r>
      <w:r>
        <w:rPr>
          <w:rFonts w:hint="eastAsia"/>
          <w:b/>
          <w:sz w:val="24"/>
          <w:szCs w:val="24"/>
          <w:lang w:eastAsia="zh-CN"/>
        </w:rPr>
        <w:t xml:space="preserve"> </w:t>
      </w:r>
      <w:r>
        <w:rPr>
          <w:b/>
          <w:sz w:val="24"/>
          <w:szCs w:val="24"/>
          <w:lang w:eastAsia="zh-CN"/>
        </w:rPr>
        <w:t xml:space="preserve"> 月</w:t>
      </w:r>
      <w:r>
        <w:rPr>
          <w:rFonts w:hint="eastAsia"/>
          <w:b/>
          <w:sz w:val="24"/>
          <w:szCs w:val="24"/>
          <w:lang w:eastAsia="zh-CN"/>
        </w:rPr>
        <w:t xml:space="preserve"> </w:t>
      </w:r>
      <w:r>
        <w:rPr>
          <w:b/>
          <w:sz w:val="24"/>
          <w:szCs w:val="24"/>
          <w:lang w:eastAsia="zh-CN"/>
        </w:rPr>
        <w:t xml:space="preserve"> 日</w:t>
      </w:r>
    </w:p>
    <w:p>
      <w:pPr>
        <w:spacing w:before="120" w:beforeLines="50" w:after="120" w:afterLines="50"/>
        <w:jc w:val="right"/>
        <w:rPr>
          <w:lang w:eastAsia="zh-CN"/>
        </w:rPr>
      </w:pPr>
      <w:r>
        <w:rPr>
          <w:b/>
          <w:sz w:val="24"/>
          <w:szCs w:val="24"/>
          <w:lang w:eastAsia="zh-CN"/>
        </w:rPr>
        <w:t>合同签订地点：福建漳州漳浦杜浔镇</w:t>
      </w:r>
    </w:p>
    <w:p>
      <w:pPr>
        <w:spacing w:line="520" w:lineRule="exact"/>
        <w:rPr>
          <w:b/>
          <w:sz w:val="28"/>
          <w:szCs w:val="28"/>
          <w:lang w:eastAsia="zh-CN"/>
        </w:rPr>
      </w:pPr>
      <w:r>
        <w:rPr>
          <w:rFonts w:hint="eastAsia"/>
          <w:b/>
          <w:sz w:val="28"/>
          <w:szCs w:val="28"/>
          <w:lang w:eastAsia="zh-CN"/>
        </w:rPr>
        <w:t>甲方：腾龙芳烃（漳州）有限公司</w:t>
      </w:r>
    </w:p>
    <w:p>
      <w:pPr>
        <w:pStyle w:val="2"/>
      </w:pPr>
    </w:p>
    <w:p>
      <w:pPr>
        <w:spacing w:line="520" w:lineRule="exact"/>
        <w:rPr>
          <w:lang w:eastAsia="zh-CN"/>
        </w:rPr>
      </w:pPr>
      <w:r>
        <w:rPr>
          <w:rFonts w:hint="eastAsia"/>
          <w:b/>
          <w:sz w:val="28"/>
          <w:szCs w:val="28"/>
          <w:lang w:eastAsia="zh-CN"/>
        </w:rPr>
        <w:t xml:space="preserve">乙方： </w:t>
      </w:r>
    </w:p>
    <w:p>
      <w:pPr>
        <w:spacing w:line="520" w:lineRule="exact"/>
        <w:ind w:firstLine="480" w:firstLineChars="200"/>
        <w:rPr>
          <w:sz w:val="24"/>
          <w:lang w:eastAsia="zh-CN"/>
        </w:rPr>
      </w:pPr>
    </w:p>
    <w:p>
      <w:pPr>
        <w:spacing w:line="520" w:lineRule="exact"/>
        <w:ind w:firstLine="480" w:firstLineChars="200"/>
        <w:rPr>
          <w:sz w:val="24"/>
          <w:u w:val="single"/>
          <w:lang w:eastAsia="zh-CN"/>
        </w:rPr>
      </w:pPr>
      <w:r>
        <w:rPr>
          <w:rFonts w:hint="eastAsia"/>
          <w:sz w:val="24"/>
          <w:lang w:eastAsia="zh-CN"/>
        </w:rPr>
        <w:t>就乙方承接甲方锅炉火检风源管改造项目事宜，甲乙双方根据《中华人民共和国民法典》合同编及其他相关法律法规，本着平等互利原则，经友好协商，达成如下协议，共同遵照执行。</w:t>
      </w:r>
    </w:p>
    <w:p>
      <w:pPr>
        <w:spacing w:line="520" w:lineRule="exact"/>
        <w:rPr>
          <w:b/>
          <w:sz w:val="28"/>
          <w:szCs w:val="28"/>
          <w:lang w:eastAsia="zh-CN"/>
        </w:rPr>
      </w:pPr>
      <w:r>
        <w:rPr>
          <w:rFonts w:hint="eastAsia"/>
          <w:b/>
          <w:sz w:val="28"/>
          <w:szCs w:val="28"/>
          <w:lang w:eastAsia="zh-CN"/>
        </w:rPr>
        <w:t>第一条 一般条款</w:t>
      </w:r>
    </w:p>
    <w:p>
      <w:pPr>
        <w:spacing w:line="520" w:lineRule="exact"/>
        <w:ind w:firstLine="240" w:firstLineChars="100"/>
        <w:rPr>
          <w:sz w:val="24"/>
          <w:lang w:eastAsia="zh-CN"/>
        </w:rPr>
      </w:pPr>
      <w:r>
        <w:rPr>
          <w:rFonts w:hint="eastAsia"/>
          <w:sz w:val="24"/>
          <w:lang w:eastAsia="zh-CN"/>
        </w:rPr>
        <w:t>1、工程概况</w:t>
      </w:r>
    </w:p>
    <w:p>
      <w:pPr>
        <w:spacing w:line="520" w:lineRule="exact"/>
        <w:ind w:firstLine="240" w:firstLineChars="100"/>
        <w:rPr>
          <w:sz w:val="24"/>
          <w:lang w:eastAsia="zh-CN"/>
        </w:rPr>
      </w:pPr>
      <w:r>
        <w:rPr>
          <w:rFonts w:hint="eastAsia"/>
          <w:sz w:val="24"/>
          <w:lang w:eastAsia="zh-CN"/>
        </w:rPr>
        <w:t>1.1工程名称：锅炉火检风源管改造发包项目。</w:t>
      </w:r>
    </w:p>
    <w:p>
      <w:pPr>
        <w:spacing w:line="520" w:lineRule="exact"/>
        <w:ind w:firstLine="240" w:firstLineChars="100"/>
        <w:rPr>
          <w:sz w:val="24"/>
          <w:lang w:eastAsia="zh-CN"/>
        </w:rPr>
      </w:pPr>
      <w:r>
        <w:rPr>
          <w:rFonts w:hint="eastAsia"/>
          <w:sz w:val="24"/>
          <w:lang w:eastAsia="zh-CN"/>
        </w:rPr>
        <w:t>1.2工程地址：福建省漳州市古雷开发区腾龙路84号路福海创石油化工有限公司</w:t>
      </w:r>
      <w:r>
        <w:rPr>
          <w:sz w:val="24"/>
          <w:lang w:eastAsia="zh-CN"/>
        </w:rPr>
        <w:t>。</w:t>
      </w:r>
    </w:p>
    <w:p>
      <w:pPr>
        <w:spacing w:line="520" w:lineRule="exact"/>
        <w:ind w:firstLine="240" w:firstLineChars="100"/>
        <w:rPr>
          <w:sz w:val="24"/>
          <w:lang w:eastAsia="zh-CN"/>
        </w:rPr>
      </w:pPr>
      <w:r>
        <w:rPr>
          <w:rFonts w:hint="eastAsia"/>
          <w:sz w:val="24"/>
          <w:lang w:eastAsia="zh-CN"/>
        </w:rPr>
        <w:t>1.3工期要求：</w:t>
      </w:r>
      <w:r>
        <w:rPr>
          <w:szCs w:val="24"/>
          <w:lang w:eastAsia="zh-CN"/>
        </w:rPr>
        <w:t>合同签订</w:t>
      </w:r>
      <w:r>
        <w:rPr>
          <w:rFonts w:hint="eastAsia"/>
          <w:szCs w:val="24"/>
          <w:lang w:eastAsia="zh-CN"/>
        </w:rPr>
        <w:t>之日</w:t>
      </w:r>
      <w:r>
        <w:rPr>
          <w:szCs w:val="24"/>
          <w:lang w:eastAsia="zh-CN"/>
        </w:rPr>
        <w:t>起1</w:t>
      </w:r>
      <w:r>
        <w:rPr>
          <w:rFonts w:hint="eastAsia"/>
          <w:szCs w:val="24"/>
          <w:lang w:eastAsia="zh-CN"/>
        </w:rPr>
        <w:t>2</w:t>
      </w:r>
      <w:r>
        <w:rPr>
          <w:szCs w:val="24"/>
          <w:lang w:eastAsia="zh-CN"/>
        </w:rPr>
        <w:t>0天内（包含节假日）完成全部改造内容的安装调试并移交招标人</w:t>
      </w:r>
      <w:r>
        <w:rPr>
          <w:rFonts w:hint="eastAsia"/>
          <w:szCs w:val="24"/>
          <w:lang w:eastAsia="zh-CN"/>
        </w:rPr>
        <w:t>，其中首套锅炉火检</w:t>
      </w:r>
      <w:r>
        <w:rPr>
          <w:szCs w:val="24"/>
          <w:lang w:eastAsia="zh-CN"/>
        </w:rPr>
        <w:t>风源管改造</w:t>
      </w:r>
      <w:r>
        <w:rPr>
          <w:rFonts w:hint="eastAsia"/>
          <w:szCs w:val="24"/>
          <w:lang w:eastAsia="zh-CN"/>
        </w:rPr>
        <w:t>须在合签订之日起3</w:t>
      </w:r>
      <w:r>
        <w:rPr>
          <w:szCs w:val="24"/>
          <w:lang w:eastAsia="zh-CN"/>
        </w:rPr>
        <w:t>5</w:t>
      </w:r>
      <w:r>
        <w:rPr>
          <w:rFonts w:hint="eastAsia"/>
          <w:szCs w:val="24"/>
          <w:lang w:eastAsia="zh-CN"/>
        </w:rPr>
        <w:t>天内</w:t>
      </w:r>
      <w:r>
        <w:rPr>
          <w:szCs w:val="24"/>
          <w:lang w:eastAsia="zh-CN"/>
        </w:rPr>
        <w:t>（包含节假日）</w:t>
      </w:r>
      <w:r>
        <w:rPr>
          <w:rFonts w:hint="eastAsia"/>
          <w:szCs w:val="24"/>
          <w:lang w:eastAsia="zh-CN"/>
        </w:rPr>
        <w:t>具备开工改造条件</w:t>
      </w:r>
      <w:r>
        <w:rPr>
          <w:szCs w:val="24"/>
          <w:lang w:eastAsia="zh-CN"/>
        </w:rPr>
        <w:t>，其他三套改造时间需根据</w:t>
      </w:r>
      <w:r>
        <w:rPr>
          <w:rFonts w:hint="eastAsia"/>
          <w:szCs w:val="24"/>
          <w:lang w:eastAsia="zh-CN"/>
        </w:rPr>
        <w:t>甲方</w:t>
      </w:r>
      <w:r>
        <w:rPr>
          <w:szCs w:val="24"/>
          <w:lang w:eastAsia="zh-CN"/>
        </w:rPr>
        <w:t>实际的生产情况安排</w:t>
      </w:r>
      <w:r>
        <w:rPr>
          <w:sz w:val="24"/>
          <w:lang w:eastAsia="zh-CN"/>
        </w:rPr>
        <w:t>。</w:t>
      </w:r>
    </w:p>
    <w:p>
      <w:pPr>
        <w:spacing w:line="520" w:lineRule="exact"/>
        <w:ind w:firstLine="240" w:firstLineChars="100"/>
        <w:jc w:val="both"/>
        <w:rPr>
          <w:sz w:val="24"/>
          <w:lang w:eastAsia="zh-CN"/>
        </w:rPr>
      </w:pPr>
      <w:r>
        <w:rPr>
          <w:rFonts w:hint="eastAsia"/>
          <w:sz w:val="24"/>
          <w:lang w:eastAsia="zh-CN"/>
        </w:rPr>
        <w:t>2、工作</w:t>
      </w:r>
      <w:r>
        <w:rPr>
          <w:rFonts w:hint="eastAsia"/>
          <w:sz w:val="24"/>
          <w:szCs w:val="24"/>
          <w:lang w:eastAsia="zh-CN"/>
        </w:rPr>
        <w:t>内容</w:t>
      </w:r>
      <w:r>
        <w:rPr>
          <w:rFonts w:hint="eastAsia"/>
          <w:sz w:val="24"/>
          <w:lang w:eastAsia="zh-CN"/>
        </w:rPr>
        <w:t>：乙方</w:t>
      </w:r>
      <w:r>
        <w:rPr>
          <w:rFonts w:hint="eastAsia"/>
          <w:szCs w:val="24"/>
          <w:lang w:val="en-GB" w:eastAsia="zh-CN"/>
        </w:rPr>
        <w:t>利用现有</w:t>
      </w:r>
      <w:r>
        <w:rPr>
          <w:szCs w:val="24"/>
          <w:lang w:val="en-GB" w:eastAsia="zh-CN"/>
        </w:rPr>
        <w:t>锅炉冷一次风管道</w:t>
      </w:r>
      <w:r>
        <w:rPr>
          <w:rFonts w:hint="eastAsia"/>
          <w:szCs w:val="24"/>
          <w:lang w:val="en-GB" w:eastAsia="zh-CN"/>
        </w:rPr>
        <w:t>及</w:t>
      </w:r>
      <w:r>
        <w:rPr>
          <w:szCs w:val="24"/>
          <w:lang w:val="en-GB" w:eastAsia="zh-CN"/>
        </w:rPr>
        <w:t>火检冷却风管道，</w:t>
      </w:r>
      <w:r>
        <w:rPr>
          <w:rFonts w:hint="eastAsia"/>
          <w:szCs w:val="24"/>
          <w:lang w:val="en-GB" w:eastAsia="zh-CN"/>
        </w:rPr>
        <w:t>通过</w:t>
      </w:r>
      <w:r>
        <w:rPr>
          <w:szCs w:val="24"/>
          <w:lang w:val="en-GB" w:eastAsia="zh-CN"/>
        </w:rPr>
        <w:t>联络管道、</w:t>
      </w:r>
      <w:r>
        <w:rPr>
          <w:rFonts w:hint="eastAsia"/>
          <w:szCs w:val="24"/>
          <w:lang w:val="en-GB" w:eastAsia="zh-CN"/>
        </w:rPr>
        <w:t>隔断门、</w:t>
      </w:r>
      <w:r>
        <w:rPr>
          <w:szCs w:val="24"/>
          <w:lang w:val="en-GB" w:eastAsia="zh-CN"/>
        </w:rPr>
        <w:t>止回阀等，</w:t>
      </w:r>
      <w:r>
        <w:rPr>
          <w:rFonts w:hint="eastAsia"/>
          <w:szCs w:val="24"/>
          <w:lang w:eastAsia="zh-CN"/>
        </w:rPr>
        <w:t>对甲方热电厂锅炉火检冷却风源</w:t>
      </w:r>
      <w:r>
        <w:rPr>
          <w:szCs w:val="24"/>
          <w:lang w:eastAsia="zh-CN"/>
        </w:rPr>
        <w:t>进行</w:t>
      </w:r>
      <w:r>
        <w:rPr>
          <w:rFonts w:hint="eastAsia"/>
          <w:szCs w:val="24"/>
          <w:lang w:eastAsia="zh-CN"/>
        </w:rPr>
        <w:t>改造。</w:t>
      </w:r>
      <w:r>
        <w:rPr>
          <w:rFonts w:hint="eastAsia"/>
          <w:bCs/>
          <w:szCs w:val="21"/>
          <w:lang w:eastAsia="zh-CN"/>
        </w:rPr>
        <w:t>具体内容和要求详见附件一《腾龙芳烃（漳州）有限公司热电厂锅炉火检风源管改造技术规范书》</w:t>
      </w:r>
      <w:r>
        <w:rPr>
          <w:rFonts w:hint="eastAsia"/>
          <w:sz w:val="24"/>
          <w:lang w:eastAsia="zh-CN"/>
        </w:rPr>
        <w:t>。</w:t>
      </w:r>
    </w:p>
    <w:p>
      <w:pPr>
        <w:spacing w:line="520" w:lineRule="exact"/>
        <w:ind w:firstLine="240" w:firstLineChars="100"/>
        <w:rPr>
          <w:sz w:val="24"/>
          <w:lang w:eastAsia="zh-CN"/>
        </w:rPr>
      </w:pPr>
      <w:r>
        <w:rPr>
          <w:sz w:val="24"/>
          <w:lang w:eastAsia="zh-CN"/>
        </w:rPr>
        <w:t>3</w:t>
      </w:r>
      <w:r>
        <w:rPr>
          <w:rFonts w:hint="eastAsia"/>
          <w:sz w:val="24"/>
          <w:lang w:eastAsia="zh-CN"/>
        </w:rPr>
        <w:t>、主要标准、规程及规范：本合同</w:t>
      </w:r>
      <w:r>
        <w:rPr>
          <w:sz w:val="24"/>
          <w:lang w:eastAsia="zh-CN"/>
        </w:rPr>
        <w:t>设计、施工与验收标准</w:t>
      </w:r>
      <w:r>
        <w:rPr>
          <w:rFonts w:hint="eastAsia"/>
          <w:sz w:val="24"/>
          <w:lang w:eastAsia="zh-CN"/>
        </w:rPr>
        <w:t>详见附件1《</w:t>
      </w:r>
      <w:r>
        <w:rPr>
          <w:rFonts w:hint="eastAsia"/>
          <w:bCs/>
          <w:szCs w:val="21"/>
          <w:lang w:eastAsia="zh-CN"/>
        </w:rPr>
        <w:t>腾龙芳烃（漳州）有限公司热电厂锅炉火检风源管改造技术规范书</w:t>
      </w:r>
      <w:r>
        <w:rPr>
          <w:rFonts w:hint="eastAsia"/>
          <w:sz w:val="24"/>
          <w:lang w:eastAsia="zh-CN"/>
        </w:rPr>
        <w:t xml:space="preserve">》的相关规定。                                           </w:t>
      </w:r>
    </w:p>
    <w:p>
      <w:pPr>
        <w:spacing w:line="520" w:lineRule="exact"/>
        <w:ind w:firstLine="240" w:firstLineChars="100"/>
        <w:rPr>
          <w:sz w:val="24"/>
          <w:lang w:eastAsia="zh-CN"/>
        </w:rPr>
      </w:pPr>
      <w:r>
        <w:rPr>
          <w:sz w:val="24"/>
          <w:lang w:eastAsia="zh-CN"/>
        </w:rPr>
        <w:t>4</w:t>
      </w:r>
      <w:r>
        <w:rPr>
          <w:rFonts w:hint="eastAsia"/>
          <w:sz w:val="24"/>
          <w:lang w:eastAsia="zh-CN"/>
        </w:rPr>
        <w:t>、资料</w:t>
      </w:r>
    </w:p>
    <w:p>
      <w:pPr>
        <w:spacing w:line="520" w:lineRule="exact"/>
        <w:ind w:left="611" w:leftChars="114" w:hanging="360" w:hangingChars="150"/>
        <w:rPr>
          <w:sz w:val="24"/>
          <w:lang w:eastAsia="zh-CN"/>
        </w:rPr>
      </w:pPr>
      <w:r>
        <w:rPr>
          <w:rFonts w:hint="eastAsia"/>
          <w:sz w:val="24"/>
          <w:lang w:eastAsia="zh-CN"/>
        </w:rPr>
        <w:t>3.</w:t>
      </w:r>
      <w:r>
        <w:rPr>
          <w:sz w:val="24"/>
          <w:lang w:eastAsia="zh-CN"/>
        </w:rPr>
        <w:t>1</w:t>
      </w:r>
      <w:r>
        <w:rPr>
          <w:rFonts w:hint="eastAsia"/>
          <w:sz w:val="24"/>
          <w:lang w:eastAsia="zh-CN"/>
        </w:rPr>
        <w:t>乙方未经甲方同意不得将本工程相关资料转给第三方，本合同工程竣工验收之日起十天内将所有相关资料退还给甲方。</w:t>
      </w:r>
    </w:p>
    <w:p>
      <w:pPr>
        <w:spacing w:line="520" w:lineRule="exact"/>
        <w:rPr>
          <w:b/>
          <w:sz w:val="28"/>
          <w:szCs w:val="28"/>
          <w:lang w:eastAsia="zh-CN"/>
        </w:rPr>
      </w:pPr>
      <w:r>
        <w:rPr>
          <w:rFonts w:hint="eastAsia"/>
          <w:b/>
          <w:sz w:val="28"/>
          <w:szCs w:val="28"/>
          <w:lang w:eastAsia="zh-CN"/>
        </w:rPr>
        <w:t>第二条   承包方式及结算办法：</w:t>
      </w:r>
    </w:p>
    <w:p>
      <w:pPr>
        <w:tabs>
          <w:tab w:val="left" w:pos="900"/>
        </w:tabs>
        <w:adjustRightInd w:val="0"/>
        <w:snapToGrid w:val="0"/>
        <w:spacing w:line="360" w:lineRule="auto"/>
        <w:ind w:firstLine="480" w:firstLineChars="200"/>
        <w:rPr>
          <w:sz w:val="24"/>
          <w:lang w:eastAsia="zh-CN"/>
        </w:rPr>
      </w:pPr>
      <w:r>
        <w:rPr>
          <w:rFonts w:hint="eastAsia"/>
          <w:sz w:val="24"/>
          <w:lang w:eastAsia="zh-CN"/>
        </w:rPr>
        <w:t>2</w:t>
      </w:r>
      <w:r>
        <w:rPr>
          <w:sz w:val="24"/>
          <w:lang w:eastAsia="zh-CN"/>
        </w:rPr>
        <w:t>.1本</w:t>
      </w:r>
      <w:r>
        <w:rPr>
          <w:rFonts w:hint="eastAsia"/>
          <w:sz w:val="24"/>
          <w:lang w:eastAsia="zh-CN"/>
        </w:rPr>
        <w:t>工程以含税包干总价形式发包。</w:t>
      </w:r>
    </w:p>
    <w:p>
      <w:pPr>
        <w:spacing w:line="520" w:lineRule="exact"/>
        <w:rPr>
          <w:b/>
          <w:sz w:val="28"/>
          <w:szCs w:val="28"/>
          <w:lang w:eastAsia="zh-CN"/>
        </w:rPr>
      </w:pPr>
      <w:r>
        <w:rPr>
          <w:rFonts w:hint="eastAsia"/>
          <w:b/>
          <w:sz w:val="28"/>
          <w:szCs w:val="28"/>
          <w:lang w:eastAsia="zh-CN"/>
        </w:rPr>
        <w:t>第三条   合同价款及支付</w:t>
      </w:r>
    </w:p>
    <w:p>
      <w:pPr>
        <w:spacing w:line="520" w:lineRule="exact"/>
        <w:ind w:firstLine="240" w:firstLineChars="100"/>
        <w:rPr>
          <w:sz w:val="24"/>
          <w:lang w:eastAsia="zh-CN"/>
        </w:rPr>
      </w:pPr>
      <w:r>
        <w:rPr>
          <w:rFonts w:hint="eastAsia"/>
          <w:sz w:val="24"/>
          <w:lang w:eastAsia="zh-CN"/>
        </w:rPr>
        <w:t>1、合同价款：</w:t>
      </w:r>
    </w:p>
    <w:p>
      <w:pPr>
        <w:spacing w:line="520" w:lineRule="exact"/>
        <w:ind w:firstLine="360" w:firstLineChars="150"/>
        <w:rPr>
          <w:sz w:val="24"/>
          <w:lang w:eastAsia="zh-CN"/>
        </w:rPr>
      </w:pPr>
      <w:r>
        <w:rPr>
          <w:rFonts w:hint="eastAsia"/>
          <w:sz w:val="24"/>
          <w:lang w:eastAsia="zh-CN"/>
        </w:rPr>
        <w:t>1.1本合同为</w:t>
      </w:r>
      <w:r>
        <w:rPr>
          <w:sz w:val="24"/>
          <w:lang w:eastAsia="zh-CN"/>
        </w:rPr>
        <w:t>含税包干总价</w:t>
      </w:r>
      <w:r>
        <w:rPr>
          <w:rFonts w:hint="eastAsia"/>
          <w:sz w:val="24"/>
          <w:lang w:eastAsia="zh-CN"/>
        </w:rPr>
        <w:t>合同，含税包干总价为：</w:t>
      </w:r>
      <w:r>
        <w:rPr>
          <w:rFonts w:hint="eastAsia"/>
          <w:sz w:val="24"/>
          <w:u w:val="single"/>
          <w:lang w:eastAsia="zh-CN"/>
        </w:rPr>
        <w:t>R</w:t>
      </w:r>
      <w:r>
        <w:rPr>
          <w:sz w:val="24"/>
          <w:u w:val="single"/>
          <w:lang w:eastAsia="zh-CN"/>
        </w:rPr>
        <w:t>MB         元，</w:t>
      </w:r>
      <w:r>
        <w:rPr>
          <w:sz w:val="24"/>
          <w:lang w:eastAsia="zh-CN"/>
        </w:rPr>
        <w:t>含</w:t>
      </w:r>
      <w:r>
        <w:rPr>
          <w:rFonts w:hint="eastAsia"/>
          <w:sz w:val="24"/>
          <w:u w:val="single"/>
          <w:lang w:eastAsia="zh-CN"/>
        </w:rPr>
        <w:t xml:space="preserve"> </w:t>
      </w:r>
      <w:r>
        <w:rPr>
          <w:sz w:val="24"/>
          <w:u w:val="single"/>
          <w:lang w:eastAsia="zh-CN"/>
        </w:rPr>
        <w:t xml:space="preserve">      </w:t>
      </w:r>
      <w:r>
        <w:rPr>
          <w:sz w:val="24"/>
          <w:lang w:eastAsia="zh-CN"/>
        </w:rPr>
        <w:t>增值税专用发票</w:t>
      </w:r>
      <w:r>
        <w:rPr>
          <w:rFonts w:hint="eastAsia"/>
          <w:sz w:val="24"/>
          <w:lang w:eastAsia="zh-CN"/>
        </w:rPr>
        <w:t>。</w:t>
      </w:r>
      <w:r>
        <w:rPr>
          <w:sz w:val="24"/>
          <w:lang w:eastAsia="zh-CN"/>
        </w:rPr>
        <w:t>具体</w:t>
      </w:r>
      <w:r>
        <w:rPr>
          <w:rFonts w:hint="eastAsia"/>
          <w:sz w:val="24"/>
          <w:lang w:eastAsia="zh-CN"/>
        </w:rPr>
        <w:t>报</w:t>
      </w:r>
      <w:r>
        <w:rPr>
          <w:sz w:val="24"/>
          <w:lang w:eastAsia="zh-CN"/>
        </w:rPr>
        <w:t>价清单如下表：</w:t>
      </w:r>
    </w:p>
    <w:p>
      <w:pPr>
        <w:tabs>
          <w:tab w:val="left" w:pos="900"/>
        </w:tabs>
        <w:spacing w:after="120" w:afterLines="50" w:line="276" w:lineRule="auto"/>
        <w:ind w:left="426"/>
        <w:jc w:val="center"/>
        <w:rPr>
          <w:sz w:val="24"/>
          <w:lang w:eastAsia="zh-CN"/>
        </w:rPr>
      </w:pPr>
      <w:r>
        <w:rPr>
          <w:rFonts w:hint="eastAsia" w:hAnsi="Calibri" w:cs="Times New Roman"/>
          <w:b/>
          <w:sz w:val="32"/>
          <w:szCs w:val="32"/>
          <w:lang w:eastAsia="zh-CN"/>
        </w:rPr>
        <w:t>具体详细报价清单表</w:t>
      </w:r>
    </w:p>
    <w:p>
      <w:pPr>
        <w:spacing w:line="520" w:lineRule="exact"/>
        <w:ind w:firstLine="360" w:firstLineChars="150"/>
        <w:rPr>
          <w:sz w:val="24"/>
          <w:lang w:eastAsia="zh-CN"/>
        </w:rPr>
      </w:pPr>
      <w:r>
        <w:rPr>
          <w:rFonts w:hint="eastAsia"/>
          <w:sz w:val="24"/>
          <w:lang w:eastAsia="zh-CN"/>
        </w:rPr>
        <w:t>1.2合同价格为全费用综合总价，它包含了检维修过程的人工费、材料费、机械费、管理费及验费、利润、措施费、规费、税费以及材料卸车、水平垂直运输、二次搬（倒）运、试车配合等乙方履行本合同所需的全部费用，除非另有约定，否则甲方不再另行承担其他费用。</w:t>
      </w:r>
    </w:p>
    <w:p>
      <w:pPr>
        <w:spacing w:line="520" w:lineRule="exact"/>
        <w:ind w:firstLine="240" w:firstLineChars="100"/>
        <w:rPr>
          <w:sz w:val="24"/>
          <w:lang w:eastAsia="zh-CN"/>
        </w:rPr>
      </w:pPr>
      <w:r>
        <w:rPr>
          <w:rFonts w:hint="eastAsia"/>
          <w:sz w:val="24"/>
          <w:lang w:eastAsia="zh-CN"/>
        </w:rPr>
        <w:t>2、付款方式：</w:t>
      </w:r>
    </w:p>
    <w:p>
      <w:pPr>
        <w:spacing w:line="520" w:lineRule="exact"/>
        <w:ind w:firstLine="360" w:firstLineChars="150"/>
        <w:rPr>
          <w:sz w:val="24"/>
          <w:lang w:eastAsia="zh-CN"/>
        </w:rPr>
      </w:pPr>
      <w:r>
        <w:rPr>
          <w:rFonts w:hint="eastAsia"/>
          <w:sz w:val="24"/>
          <w:lang w:eastAsia="zh-CN"/>
        </w:rPr>
        <w:t>2</w:t>
      </w:r>
      <w:r>
        <w:rPr>
          <w:sz w:val="24"/>
          <w:lang w:eastAsia="zh-CN"/>
        </w:rPr>
        <w:t>.1、验收款：</w:t>
      </w:r>
    </w:p>
    <w:p>
      <w:pPr>
        <w:spacing w:line="520" w:lineRule="exact"/>
        <w:ind w:firstLine="360" w:firstLineChars="150"/>
        <w:rPr>
          <w:sz w:val="24"/>
          <w:lang w:eastAsia="zh-CN"/>
        </w:rPr>
      </w:pPr>
      <w:r>
        <w:rPr>
          <w:sz w:val="24"/>
          <w:lang w:eastAsia="zh-CN"/>
        </w:rPr>
        <w:t>乙方根据合同约定完成所有</w:t>
      </w:r>
      <w:r>
        <w:rPr>
          <w:rFonts w:hint="eastAsia"/>
          <w:sz w:val="24"/>
          <w:lang w:eastAsia="zh-CN"/>
        </w:rPr>
        <w:t>改造要求并经甲方验收合格后，乙方开具合同总价的全额增值税专用发票，甲方收到全额增值税专用发票原件后3</w:t>
      </w:r>
      <w:r>
        <w:rPr>
          <w:sz w:val="24"/>
          <w:lang w:eastAsia="zh-CN"/>
        </w:rPr>
        <w:t>0日内支付</w:t>
      </w:r>
      <w:r>
        <w:rPr>
          <w:rFonts w:hint="eastAsia"/>
          <w:sz w:val="24"/>
          <w:lang w:eastAsia="zh-CN"/>
        </w:rPr>
        <w:t>合同</w:t>
      </w:r>
      <w:r>
        <w:rPr>
          <w:sz w:val="24"/>
          <w:lang w:eastAsia="zh-CN"/>
        </w:rPr>
        <w:t>总价</w:t>
      </w:r>
      <w:r>
        <w:rPr>
          <w:rFonts w:hint="eastAsia"/>
          <w:sz w:val="24"/>
          <w:lang w:eastAsia="zh-CN"/>
        </w:rPr>
        <w:t>9</w:t>
      </w:r>
      <w:r>
        <w:rPr>
          <w:sz w:val="24"/>
          <w:lang w:eastAsia="zh-CN"/>
        </w:rPr>
        <w:t>5%，余下5%作为质保金</w:t>
      </w:r>
      <w:r>
        <w:rPr>
          <w:rFonts w:hint="eastAsia"/>
          <w:sz w:val="24"/>
          <w:lang w:eastAsia="zh-CN"/>
        </w:rPr>
        <w:t>。</w:t>
      </w:r>
    </w:p>
    <w:p>
      <w:pPr>
        <w:spacing w:line="520" w:lineRule="exact"/>
        <w:ind w:firstLine="360" w:firstLineChars="150"/>
        <w:rPr>
          <w:sz w:val="24"/>
          <w:lang w:eastAsia="zh-CN"/>
        </w:rPr>
      </w:pPr>
      <w:r>
        <w:rPr>
          <w:sz w:val="24"/>
          <w:lang w:eastAsia="zh-CN"/>
        </w:rPr>
        <w:t>2.2、质保款：</w:t>
      </w:r>
      <w:r>
        <w:rPr>
          <w:rFonts w:hint="eastAsia"/>
          <w:sz w:val="24"/>
          <w:lang w:eastAsia="zh-CN"/>
        </w:rPr>
        <w:t>合同总价</w:t>
      </w:r>
      <w:r>
        <w:rPr>
          <w:color w:val="000000"/>
          <w:szCs w:val="21"/>
          <w:u w:val="single"/>
          <w:lang w:eastAsia="zh-CN"/>
        </w:rPr>
        <w:t>5</w:t>
      </w:r>
      <w:r>
        <w:rPr>
          <w:rFonts w:hint="eastAsia"/>
          <w:sz w:val="24"/>
          <w:lang w:eastAsia="zh-CN"/>
        </w:rPr>
        <w:t>%作为工程质量保证金，待所有改造设备的保修期满、乙方全面履行本合同约定义务后3</w:t>
      </w:r>
      <w:r>
        <w:rPr>
          <w:sz w:val="24"/>
          <w:lang w:eastAsia="zh-CN"/>
        </w:rPr>
        <w:t>0内全额无息</w:t>
      </w:r>
      <w:r>
        <w:rPr>
          <w:rFonts w:hint="eastAsia"/>
          <w:sz w:val="24"/>
          <w:lang w:eastAsia="zh-CN"/>
        </w:rPr>
        <w:t>支付。</w:t>
      </w:r>
    </w:p>
    <w:p>
      <w:pPr>
        <w:spacing w:line="520" w:lineRule="exact"/>
        <w:ind w:firstLine="360" w:firstLineChars="150"/>
        <w:rPr>
          <w:sz w:val="24"/>
          <w:lang w:eastAsia="zh-CN"/>
        </w:rPr>
      </w:pPr>
      <w:r>
        <w:rPr>
          <w:rFonts w:hint="eastAsia"/>
          <w:sz w:val="24"/>
          <w:lang w:eastAsia="zh-CN"/>
        </w:rPr>
        <w:t>3</w:t>
      </w:r>
      <w:r>
        <w:rPr>
          <w:sz w:val="24"/>
          <w:lang w:eastAsia="zh-CN"/>
        </w:rPr>
        <w:t>、履约保证金：</w:t>
      </w:r>
    </w:p>
    <w:p>
      <w:pPr>
        <w:spacing w:line="520" w:lineRule="exact"/>
        <w:ind w:firstLine="360" w:firstLineChars="150"/>
        <w:rPr>
          <w:lang w:eastAsia="zh-CN"/>
        </w:rPr>
      </w:pPr>
      <w:r>
        <w:rPr>
          <w:rFonts w:hint="eastAsia"/>
          <w:sz w:val="24"/>
          <w:lang w:eastAsia="zh-CN"/>
        </w:rPr>
        <w:t>乙方需于双方合同签订后10个工作日内向甲方指定账户缴纳</w:t>
      </w:r>
      <w:r>
        <w:rPr>
          <w:rFonts w:hint="eastAsia"/>
          <w:sz w:val="24"/>
          <w:highlight w:val="yellow"/>
          <w:lang w:eastAsia="zh-CN"/>
        </w:rPr>
        <w:t>合同含税包干总价的1</w:t>
      </w:r>
      <w:r>
        <w:rPr>
          <w:sz w:val="24"/>
          <w:highlight w:val="yellow"/>
          <w:lang w:eastAsia="zh-CN"/>
        </w:rPr>
        <w:t>0%，即</w:t>
      </w:r>
      <w:r>
        <w:rPr>
          <w:rFonts w:hint="eastAsia"/>
          <w:sz w:val="24"/>
          <w:highlight w:val="yellow"/>
          <w:u w:val="single"/>
          <w:lang w:eastAsia="zh-CN"/>
        </w:rPr>
        <w:t>RMB</w:t>
      </w:r>
      <w:r>
        <w:rPr>
          <w:sz w:val="24"/>
          <w:highlight w:val="yellow"/>
          <w:u w:val="single"/>
          <w:lang w:eastAsia="zh-CN"/>
        </w:rPr>
        <w:t xml:space="preserve">        </w:t>
      </w:r>
      <w:r>
        <w:rPr>
          <w:rFonts w:hint="eastAsia"/>
          <w:sz w:val="24"/>
          <w:highlight w:val="yellow"/>
          <w:u w:val="single"/>
          <w:lang w:eastAsia="zh-CN"/>
        </w:rPr>
        <w:t>元</w:t>
      </w:r>
      <w:r>
        <w:rPr>
          <w:rFonts w:hint="eastAsia"/>
          <w:sz w:val="24"/>
          <w:highlight w:val="yellow"/>
          <w:lang w:eastAsia="zh-CN"/>
        </w:rPr>
        <w:t>作为履约保证金</w:t>
      </w:r>
      <w:r>
        <w:rPr>
          <w:rFonts w:hint="eastAsia"/>
          <w:sz w:val="24"/>
          <w:lang w:eastAsia="zh-CN"/>
        </w:rPr>
        <w:t>，合同期限内，乙方执行情况良好，无违约行为，则履约保证金于合同执行完毕后30日内全额无息退还。甲方收到相应履约保证金后按原账户退回甲方参选保证金R</w:t>
      </w:r>
      <w:r>
        <w:rPr>
          <w:sz w:val="24"/>
          <w:lang w:eastAsia="zh-CN"/>
        </w:rPr>
        <w:t>MB16000元。</w:t>
      </w:r>
    </w:p>
    <w:p>
      <w:pPr>
        <w:tabs>
          <w:tab w:val="left" w:pos="2010"/>
        </w:tabs>
        <w:spacing w:line="520" w:lineRule="exact"/>
        <w:rPr>
          <w:b/>
          <w:sz w:val="28"/>
          <w:szCs w:val="28"/>
          <w:lang w:eastAsia="zh-CN"/>
        </w:rPr>
      </w:pPr>
      <w:r>
        <w:rPr>
          <w:rFonts w:hint="eastAsia"/>
          <w:b/>
          <w:sz w:val="28"/>
          <w:szCs w:val="28"/>
          <w:lang w:eastAsia="zh-CN"/>
        </w:rPr>
        <w:t>第四条 双方责任</w:t>
      </w:r>
    </w:p>
    <w:p>
      <w:pPr>
        <w:tabs>
          <w:tab w:val="left" w:pos="2010"/>
        </w:tabs>
        <w:spacing w:line="520" w:lineRule="exact"/>
        <w:ind w:firstLine="240" w:firstLineChars="100"/>
        <w:rPr>
          <w:sz w:val="24"/>
          <w:lang w:eastAsia="zh-CN"/>
        </w:rPr>
      </w:pPr>
      <w:r>
        <w:rPr>
          <w:rFonts w:hint="eastAsia"/>
          <w:sz w:val="24"/>
          <w:lang w:eastAsia="zh-CN"/>
        </w:rPr>
        <w:t>1、甲方工作</w:t>
      </w:r>
    </w:p>
    <w:p>
      <w:pPr>
        <w:tabs>
          <w:tab w:val="left" w:pos="2010"/>
        </w:tabs>
        <w:spacing w:line="520" w:lineRule="exact"/>
        <w:ind w:firstLine="240" w:firstLineChars="100"/>
        <w:rPr>
          <w:sz w:val="24"/>
          <w:lang w:eastAsia="zh-CN"/>
        </w:rPr>
      </w:pPr>
      <w:r>
        <w:rPr>
          <w:rFonts w:hint="eastAsia"/>
          <w:sz w:val="24"/>
          <w:lang w:eastAsia="zh-CN"/>
        </w:rPr>
        <w:t>1.1甲方有权对检维修项目的质量、进度、安全等进行监督检查，协调检维修施工中的有关事项，并对乙方检维修施工进行全过程跟踪监督和管理。乙方履行协调义务或行使监督管理权利，均不代表甲方承诺对乙方的行为承担任何责任，更不因此构成对乙方所应承担的各项责任和义务的减轻或豁免。</w:t>
      </w:r>
    </w:p>
    <w:p>
      <w:pPr>
        <w:tabs>
          <w:tab w:val="left" w:pos="2010"/>
        </w:tabs>
        <w:spacing w:line="520" w:lineRule="exact"/>
        <w:ind w:firstLine="240" w:firstLineChars="100"/>
        <w:rPr>
          <w:sz w:val="24"/>
          <w:lang w:eastAsia="zh-CN"/>
        </w:rPr>
      </w:pPr>
      <w:r>
        <w:rPr>
          <w:rFonts w:hint="eastAsia"/>
          <w:sz w:val="24"/>
          <w:lang w:eastAsia="zh-CN"/>
        </w:rPr>
        <w:t>1.2甲方为乙方的检维修服务提供配合，如设备断电及保护。</w:t>
      </w:r>
    </w:p>
    <w:p>
      <w:pPr>
        <w:tabs>
          <w:tab w:val="left" w:pos="2010"/>
        </w:tabs>
        <w:spacing w:line="520" w:lineRule="exact"/>
        <w:ind w:firstLine="240" w:firstLineChars="100"/>
        <w:rPr>
          <w:sz w:val="24"/>
          <w:lang w:eastAsia="zh-CN"/>
        </w:rPr>
      </w:pPr>
      <w:r>
        <w:rPr>
          <w:rFonts w:hint="eastAsia"/>
          <w:sz w:val="24"/>
          <w:lang w:eastAsia="zh-CN"/>
        </w:rPr>
        <w:t>2、乙方工作</w:t>
      </w:r>
    </w:p>
    <w:p>
      <w:pPr>
        <w:tabs>
          <w:tab w:val="left" w:pos="2010"/>
        </w:tabs>
        <w:spacing w:line="520" w:lineRule="exact"/>
        <w:ind w:firstLine="240" w:firstLineChars="100"/>
        <w:rPr>
          <w:sz w:val="24"/>
          <w:lang w:eastAsia="zh-CN"/>
        </w:rPr>
      </w:pPr>
      <w:r>
        <w:rPr>
          <w:rFonts w:hint="eastAsia"/>
          <w:sz w:val="24"/>
          <w:lang w:eastAsia="zh-CN"/>
        </w:rPr>
        <w:t>2.1 检维修结束后乙方向甲方提供更换的配件清单一式二份。</w:t>
      </w:r>
    </w:p>
    <w:p>
      <w:pPr>
        <w:tabs>
          <w:tab w:val="left" w:pos="2010"/>
        </w:tabs>
        <w:spacing w:line="520" w:lineRule="exact"/>
        <w:ind w:firstLine="240" w:firstLineChars="100"/>
        <w:rPr>
          <w:sz w:val="24"/>
          <w:lang w:eastAsia="zh-CN"/>
        </w:rPr>
      </w:pPr>
      <w:r>
        <w:rPr>
          <w:rFonts w:hint="eastAsia"/>
          <w:sz w:val="24"/>
          <w:lang w:eastAsia="zh-CN"/>
        </w:rPr>
        <w:t>2.2 严格按本合同约定及甲方要求的质量、进度进行安全文明检维修施工。</w:t>
      </w:r>
    </w:p>
    <w:p>
      <w:pPr>
        <w:tabs>
          <w:tab w:val="left" w:pos="2010"/>
        </w:tabs>
        <w:spacing w:line="520" w:lineRule="exact"/>
        <w:ind w:firstLine="240" w:firstLineChars="100"/>
        <w:rPr>
          <w:sz w:val="24"/>
          <w:lang w:eastAsia="zh-CN"/>
        </w:rPr>
      </w:pPr>
      <w:r>
        <w:rPr>
          <w:rFonts w:hint="eastAsia"/>
          <w:sz w:val="24"/>
          <w:lang w:eastAsia="zh-CN"/>
        </w:rPr>
        <w:t>2.3必须服从甲方或甲方所委托的第三方的管理。</w:t>
      </w:r>
    </w:p>
    <w:p>
      <w:pPr>
        <w:tabs>
          <w:tab w:val="left" w:pos="2010"/>
        </w:tabs>
        <w:spacing w:line="520" w:lineRule="exact"/>
        <w:ind w:firstLine="240" w:firstLineChars="100"/>
        <w:rPr>
          <w:sz w:val="24"/>
          <w:lang w:eastAsia="zh-CN"/>
        </w:rPr>
      </w:pPr>
      <w:r>
        <w:rPr>
          <w:rFonts w:hint="eastAsia"/>
          <w:sz w:val="24"/>
          <w:lang w:eastAsia="zh-CN"/>
        </w:rPr>
        <w:t>2.4制定和优化质量保证体系，有效控制检维修施工质量。</w:t>
      </w:r>
    </w:p>
    <w:p>
      <w:pPr>
        <w:tabs>
          <w:tab w:val="left" w:pos="2010"/>
        </w:tabs>
        <w:spacing w:line="520" w:lineRule="exact"/>
        <w:ind w:firstLine="240" w:firstLineChars="100"/>
        <w:rPr>
          <w:sz w:val="24"/>
          <w:lang w:eastAsia="zh-CN"/>
        </w:rPr>
      </w:pPr>
      <w:r>
        <w:rPr>
          <w:rFonts w:hint="eastAsia"/>
          <w:sz w:val="24"/>
          <w:lang w:eastAsia="zh-CN"/>
        </w:rPr>
        <w:t>2.5乙方负责检维修服务所需设备、材料及检维修配件（包括领用甲方提供的配件，如有）的卸车和保管。</w:t>
      </w:r>
    </w:p>
    <w:p>
      <w:pPr>
        <w:tabs>
          <w:tab w:val="left" w:pos="2010"/>
        </w:tabs>
        <w:spacing w:line="520" w:lineRule="exact"/>
        <w:ind w:firstLine="240" w:firstLineChars="100"/>
        <w:rPr>
          <w:sz w:val="24"/>
          <w:lang w:eastAsia="zh-CN"/>
        </w:rPr>
      </w:pPr>
      <w:r>
        <w:rPr>
          <w:rFonts w:hint="eastAsia"/>
          <w:sz w:val="24"/>
          <w:lang w:eastAsia="zh-CN"/>
        </w:rPr>
        <w:t>2.6乙方负责检维修服务期间施工场地的安全保卫工作。</w:t>
      </w:r>
    </w:p>
    <w:p>
      <w:pPr>
        <w:tabs>
          <w:tab w:val="left" w:pos="2010"/>
        </w:tabs>
        <w:spacing w:line="520" w:lineRule="exact"/>
        <w:ind w:firstLine="240" w:firstLineChars="100"/>
        <w:rPr>
          <w:sz w:val="24"/>
          <w:lang w:eastAsia="zh-CN"/>
        </w:rPr>
      </w:pPr>
      <w:r>
        <w:rPr>
          <w:rFonts w:hint="eastAsia"/>
          <w:sz w:val="24"/>
          <w:lang w:eastAsia="zh-CN"/>
        </w:rPr>
        <w:t>2.7乙方人员必须遵纪守法，乙方人员发生的违法、乱纪（盗窃、打架斗殴）事件，乙方承担由此造成法律责任和各种经济损失。</w:t>
      </w:r>
    </w:p>
    <w:p>
      <w:pPr>
        <w:tabs>
          <w:tab w:val="left" w:pos="2010"/>
        </w:tabs>
        <w:spacing w:line="520" w:lineRule="exact"/>
        <w:ind w:firstLine="240" w:firstLineChars="100"/>
        <w:rPr>
          <w:sz w:val="24"/>
          <w:lang w:eastAsia="zh-CN"/>
        </w:rPr>
      </w:pPr>
      <w:r>
        <w:rPr>
          <w:rFonts w:hint="eastAsia"/>
          <w:sz w:val="24"/>
          <w:lang w:eastAsia="zh-CN"/>
        </w:rPr>
        <w:t>2.8安全网、警戒线由乙方提供，乙方负责搭设、拆除。乙方对现场安全防护设施在施工中应严加保护，若必须拆除时应由甲方批准后方可变动，施工完毕必须恢复。按照安全文明的有关规定组织施工，施工现场料、物具堆放有序，整洁卫生，达到工完、料尽、场地清。</w:t>
      </w:r>
    </w:p>
    <w:p>
      <w:pPr>
        <w:tabs>
          <w:tab w:val="left" w:pos="2010"/>
        </w:tabs>
        <w:spacing w:line="520" w:lineRule="exact"/>
        <w:ind w:firstLine="240" w:firstLineChars="100"/>
        <w:rPr>
          <w:sz w:val="24"/>
          <w:lang w:eastAsia="zh-CN"/>
        </w:rPr>
      </w:pPr>
      <w:r>
        <w:rPr>
          <w:rFonts w:hint="eastAsia"/>
          <w:sz w:val="24"/>
          <w:lang w:eastAsia="zh-CN"/>
        </w:rPr>
        <w:t>2.9施工安全责任由乙方承担，发生各类安全事故，乙方应及时报告甲方，不得隐瞒。甲方有权根据有关规定组织、参与事故的调查处理。</w:t>
      </w:r>
    </w:p>
    <w:p>
      <w:pPr>
        <w:tabs>
          <w:tab w:val="left" w:pos="2010"/>
        </w:tabs>
        <w:spacing w:line="520" w:lineRule="exact"/>
        <w:ind w:firstLine="240" w:firstLineChars="100"/>
        <w:rPr>
          <w:sz w:val="24"/>
          <w:lang w:eastAsia="zh-CN"/>
        </w:rPr>
      </w:pPr>
      <w:r>
        <w:rPr>
          <w:rFonts w:hint="eastAsia"/>
          <w:sz w:val="24"/>
          <w:lang w:eastAsia="zh-CN"/>
        </w:rPr>
        <w:t>2.10 乙方工作人员进入施工现场实行进出场登记制度（登记身份证的全部信息），登记表由乙方项目负责人签字认可后提交甲方。</w:t>
      </w:r>
    </w:p>
    <w:p>
      <w:pPr>
        <w:spacing w:line="520" w:lineRule="exact"/>
        <w:ind w:firstLine="180"/>
        <w:rPr>
          <w:sz w:val="24"/>
          <w:lang w:eastAsia="zh-CN"/>
        </w:rPr>
      </w:pPr>
      <w:r>
        <w:rPr>
          <w:rFonts w:hint="eastAsia"/>
          <w:sz w:val="24"/>
          <w:lang w:eastAsia="zh-CN"/>
        </w:rPr>
        <w:t>3、乙方应遵守以下安全条件：</w:t>
      </w:r>
    </w:p>
    <w:p>
      <w:pPr>
        <w:spacing w:line="520" w:lineRule="exact"/>
        <w:ind w:firstLine="180"/>
        <w:rPr>
          <w:sz w:val="24"/>
          <w:lang w:eastAsia="zh-CN"/>
        </w:rPr>
      </w:pPr>
      <w:r>
        <w:rPr>
          <w:rFonts w:hint="eastAsia"/>
          <w:sz w:val="24"/>
          <w:lang w:eastAsia="zh-CN"/>
        </w:rPr>
        <w:t>3.</w:t>
      </w:r>
      <w:r>
        <w:rPr>
          <w:sz w:val="24"/>
          <w:lang w:eastAsia="zh-CN"/>
        </w:rPr>
        <w:t>1</w:t>
      </w:r>
      <w:r>
        <w:rPr>
          <w:rFonts w:hint="eastAsia"/>
          <w:sz w:val="24"/>
          <w:lang w:eastAsia="zh-CN"/>
        </w:rPr>
        <w:t>、应办临时出入证，进入现场应进行“三级”(即厂级、车间级、班组级)安全教育。</w:t>
      </w:r>
    </w:p>
    <w:p>
      <w:pPr>
        <w:spacing w:line="520" w:lineRule="exact"/>
        <w:ind w:firstLine="180"/>
        <w:rPr>
          <w:sz w:val="24"/>
          <w:lang w:eastAsia="zh-CN"/>
        </w:rPr>
      </w:pPr>
      <w:r>
        <w:rPr>
          <w:rFonts w:hint="eastAsia"/>
          <w:sz w:val="24"/>
          <w:lang w:eastAsia="zh-CN"/>
        </w:rPr>
        <w:t>3.2、应认真贯彻执行国家《安全生产法》、《安全生产条例》、《消防法》、《环境保护法》、《劳动法》和《职业卫生防治法》等法律法规，以及遵守“甲方”的各项安全管理制度。</w:t>
      </w:r>
    </w:p>
    <w:p>
      <w:pPr>
        <w:spacing w:line="520" w:lineRule="exact"/>
        <w:ind w:firstLine="180"/>
        <w:rPr>
          <w:sz w:val="24"/>
          <w:lang w:eastAsia="zh-CN"/>
        </w:rPr>
      </w:pPr>
      <w:r>
        <w:rPr>
          <w:rFonts w:hint="eastAsia"/>
          <w:sz w:val="24"/>
          <w:lang w:eastAsia="zh-CN"/>
        </w:rPr>
        <w:t>3.3、操作人员未经装置现场人员同意，不得随意动用装置现场的设备、管路、阀门。</w:t>
      </w:r>
    </w:p>
    <w:p>
      <w:pPr>
        <w:spacing w:line="520" w:lineRule="exact"/>
        <w:ind w:firstLine="180" w:firstLineChars="75"/>
        <w:rPr>
          <w:sz w:val="24"/>
          <w:lang w:eastAsia="zh-CN"/>
        </w:rPr>
      </w:pPr>
      <w:r>
        <w:rPr>
          <w:rFonts w:hint="eastAsia"/>
          <w:sz w:val="24"/>
          <w:lang w:eastAsia="zh-CN"/>
        </w:rPr>
        <w:t>3.4、应严格执行动火证、动土证、入罐证、登高作业证、盲板抽堵证、临时施工用电票等，严禁违章作业。</w:t>
      </w:r>
    </w:p>
    <w:p>
      <w:pPr>
        <w:spacing w:line="520" w:lineRule="exact"/>
        <w:ind w:firstLine="180" w:firstLineChars="75"/>
        <w:rPr>
          <w:sz w:val="24"/>
          <w:lang w:eastAsia="zh-CN"/>
        </w:rPr>
      </w:pPr>
      <w:r>
        <w:rPr>
          <w:rFonts w:hint="eastAsia"/>
          <w:sz w:val="24"/>
          <w:lang w:eastAsia="zh-CN"/>
        </w:rPr>
        <w:t>3.5、应按规定穿戴好劳动保护用品，进入检修现场须戴好安全帽，登高作业须佩带好安全带，禁止穿拖鞋。</w:t>
      </w:r>
    </w:p>
    <w:p>
      <w:pPr>
        <w:spacing w:line="520" w:lineRule="exact"/>
        <w:ind w:firstLine="180" w:firstLineChars="75"/>
        <w:rPr>
          <w:sz w:val="24"/>
          <w:lang w:eastAsia="zh-CN"/>
        </w:rPr>
      </w:pPr>
      <w:r>
        <w:rPr>
          <w:rFonts w:hint="eastAsia"/>
          <w:sz w:val="24"/>
          <w:lang w:eastAsia="zh-CN"/>
        </w:rPr>
        <w:t>3.6、应严格遵守防火防爆等禁令和规定，不准携带火种等危险物品进入生产区，严禁在厂区内抽烟。</w:t>
      </w:r>
    </w:p>
    <w:p>
      <w:pPr>
        <w:spacing w:line="520" w:lineRule="exact"/>
        <w:ind w:firstLine="180" w:firstLineChars="75"/>
        <w:rPr>
          <w:sz w:val="24"/>
          <w:lang w:eastAsia="zh-CN"/>
        </w:rPr>
      </w:pPr>
      <w:r>
        <w:rPr>
          <w:rFonts w:hint="eastAsia"/>
          <w:sz w:val="24"/>
          <w:lang w:eastAsia="zh-CN"/>
        </w:rPr>
        <w:t>3.7、严禁酒后上班，上班期间严禁饮酒、赌博。</w:t>
      </w:r>
    </w:p>
    <w:p>
      <w:pPr>
        <w:spacing w:line="520" w:lineRule="exact"/>
        <w:ind w:firstLine="180" w:firstLineChars="75"/>
        <w:rPr>
          <w:sz w:val="24"/>
          <w:lang w:eastAsia="zh-CN"/>
        </w:rPr>
      </w:pPr>
      <w:r>
        <w:rPr>
          <w:rFonts w:hint="eastAsia"/>
          <w:sz w:val="24"/>
          <w:lang w:eastAsia="zh-CN"/>
        </w:rPr>
        <w:t>3.8、进入厂区的车辆应遵守厂内交通管理有关规定和各种安全制度，申报厂内临时通行证，按厂内行停车标志认真执行。</w:t>
      </w:r>
    </w:p>
    <w:p>
      <w:pPr>
        <w:spacing w:line="520" w:lineRule="exact"/>
        <w:ind w:firstLine="180" w:firstLineChars="75"/>
        <w:rPr>
          <w:sz w:val="24"/>
          <w:lang w:eastAsia="zh-CN"/>
        </w:rPr>
      </w:pPr>
      <w:r>
        <w:rPr>
          <w:rFonts w:hint="eastAsia"/>
          <w:sz w:val="24"/>
          <w:lang w:eastAsia="zh-CN"/>
        </w:rPr>
        <w:t>3.9、装置现场配备消防器材不得挪作他用，并保持消防器材附近无障碍物。</w:t>
      </w:r>
    </w:p>
    <w:p>
      <w:pPr>
        <w:spacing w:line="520" w:lineRule="exact"/>
        <w:ind w:firstLine="180" w:firstLineChars="75"/>
        <w:rPr>
          <w:sz w:val="24"/>
          <w:lang w:eastAsia="zh-CN"/>
        </w:rPr>
      </w:pPr>
      <w:r>
        <w:rPr>
          <w:rFonts w:hint="eastAsia"/>
          <w:sz w:val="24"/>
          <w:lang w:eastAsia="zh-CN"/>
        </w:rPr>
        <w:t>3.10、应主动接受安全教育、培训和考核，持证上岗。</w:t>
      </w:r>
    </w:p>
    <w:p>
      <w:pPr>
        <w:tabs>
          <w:tab w:val="left" w:pos="2010"/>
        </w:tabs>
        <w:spacing w:line="520" w:lineRule="exact"/>
        <w:rPr>
          <w:b/>
          <w:sz w:val="28"/>
          <w:szCs w:val="28"/>
          <w:lang w:eastAsia="zh-CN"/>
        </w:rPr>
      </w:pPr>
      <w:r>
        <w:rPr>
          <w:rFonts w:hint="eastAsia"/>
          <w:b/>
          <w:sz w:val="28"/>
          <w:szCs w:val="28"/>
          <w:lang w:eastAsia="zh-CN"/>
        </w:rPr>
        <w:t>第五条 服务质量与验收</w:t>
      </w:r>
    </w:p>
    <w:p>
      <w:pPr>
        <w:tabs>
          <w:tab w:val="left" w:pos="2010"/>
        </w:tabs>
        <w:spacing w:line="520" w:lineRule="exact"/>
        <w:ind w:firstLine="240" w:firstLineChars="100"/>
        <w:rPr>
          <w:sz w:val="24"/>
          <w:lang w:eastAsia="zh-CN"/>
        </w:rPr>
      </w:pPr>
      <w:r>
        <w:rPr>
          <w:rFonts w:hint="eastAsia"/>
          <w:sz w:val="24"/>
          <w:lang w:eastAsia="zh-CN"/>
        </w:rPr>
        <w:t>1、乙方严格按本合同约定提供检维修服务，严格按施工验收标准组织施工及验收，施工质量达到约定标准。验收合格以甲方书面确认为准。</w:t>
      </w:r>
    </w:p>
    <w:p>
      <w:pPr>
        <w:tabs>
          <w:tab w:val="left" w:pos="2010"/>
        </w:tabs>
        <w:spacing w:line="520" w:lineRule="exact"/>
        <w:ind w:firstLine="240" w:firstLineChars="100"/>
        <w:rPr>
          <w:sz w:val="24"/>
          <w:lang w:eastAsia="zh-CN"/>
        </w:rPr>
      </w:pPr>
      <w:r>
        <w:rPr>
          <w:rFonts w:hint="eastAsia"/>
          <w:sz w:val="24"/>
          <w:lang w:eastAsia="zh-CN"/>
        </w:rPr>
        <w:t>2、工程质量达不到约定标准的部分，乙方应返工直至达到约定标准为止，乙方应承担因返工所发生的一切施工费用，包含配件费用和人工费用等。</w:t>
      </w:r>
    </w:p>
    <w:p>
      <w:pPr>
        <w:tabs>
          <w:tab w:val="left" w:pos="2010"/>
        </w:tabs>
        <w:spacing w:line="520" w:lineRule="exact"/>
        <w:ind w:firstLine="240" w:firstLineChars="100"/>
        <w:rPr>
          <w:sz w:val="24"/>
          <w:lang w:eastAsia="zh-CN"/>
        </w:rPr>
      </w:pPr>
      <w:r>
        <w:rPr>
          <w:rFonts w:hint="eastAsia"/>
          <w:sz w:val="24"/>
          <w:lang w:eastAsia="zh-CN"/>
        </w:rPr>
        <w:t>3、乙方应为甲方的检查、检验的提供便利条件。</w:t>
      </w:r>
    </w:p>
    <w:p>
      <w:pPr>
        <w:tabs>
          <w:tab w:val="left" w:pos="2010"/>
        </w:tabs>
        <w:spacing w:line="520" w:lineRule="exact"/>
        <w:ind w:firstLine="240" w:firstLineChars="100"/>
        <w:rPr>
          <w:sz w:val="24"/>
          <w:lang w:eastAsia="zh-CN"/>
        </w:rPr>
      </w:pPr>
      <w:r>
        <w:rPr>
          <w:rFonts w:hint="eastAsia"/>
          <w:sz w:val="24"/>
          <w:lang w:eastAsia="zh-CN"/>
        </w:rPr>
        <w:t>4、因乙方未按合同约定标准提供检维修服务造成设备事故或设备无法正常使用的的，甲方有权视情节轻重对乙方进行扣罚，扣罚幅度由甲方掌握；扣罚的金额从支付给乙方的应付款项中扣除，应付款项不足扣除的，乙方仍需赔偿。</w:t>
      </w:r>
    </w:p>
    <w:p>
      <w:pPr>
        <w:tabs>
          <w:tab w:val="left" w:pos="2010"/>
        </w:tabs>
        <w:spacing w:line="520" w:lineRule="exact"/>
        <w:rPr>
          <w:b/>
          <w:sz w:val="24"/>
          <w:lang w:eastAsia="zh-CN"/>
        </w:rPr>
      </w:pPr>
      <w:r>
        <w:rPr>
          <w:rFonts w:hint="eastAsia"/>
          <w:b/>
          <w:sz w:val="24"/>
          <w:lang w:eastAsia="zh-CN"/>
        </w:rPr>
        <w:t>第六条  保修</w:t>
      </w:r>
    </w:p>
    <w:p>
      <w:pPr>
        <w:tabs>
          <w:tab w:val="left" w:pos="2010"/>
        </w:tabs>
        <w:spacing w:line="520" w:lineRule="exact"/>
        <w:rPr>
          <w:sz w:val="24"/>
          <w:lang w:eastAsia="zh-CN"/>
        </w:rPr>
      </w:pPr>
      <w:r>
        <w:rPr>
          <w:rFonts w:hint="eastAsia"/>
          <w:sz w:val="24"/>
          <w:lang w:eastAsia="zh-CN"/>
        </w:rPr>
        <w:t>1.</w:t>
      </w:r>
      <w:r>
        <w:rPr>
          <w:rFonts w:hint="eastAsia"/>
          <w:sz w:val="24"/>
          <w:szCs w:val="24"/>
          <w:lang w:eastAsia="zh-CN"/>
        </w:rPr>
        <w:t>乙方就其改造施工设备，提供相应的保修服务，质保期从设备改造完成后投运之日算起</w:t>
      </w:r>
      <w:r>
        <w:rPr>
          <w:sz w:val="24"/>
          <w:szCs w:val="24"/>
          <w:lang w:eastAsia="zh-CN"/>
        </w:rPr>
        <w:t>12</w:t>
      </w:r>
      <w:r>
        <w:rPr>
          <w:rFonts w:hint="eastAsia"/>
          <w:sz w:val="24"/>
          <w:szCs w:val="24"/>
          <w:lang w:eastAsia="zh-CN"/>
        </w:rPr>
        <w:t>个月，在质保期之内若发生质量问题，乙方在甲方要求的时间内派有经验的技术人员到现场免费修理，直至更换部件或整套体统，质保期则从维修和更换部件、设备性能验收合格之日起重新算起。乙方为甲方改造后的相关设备在保修期内损坏的，乙方须为甲方免费更换备件、维修，且承担由此产生的费用。</w:t>
      </w:r>
    </w:p>
    <w:p>
      <w:pPr>
        <w:tabs>
          <w:tab w:val="left" w:pos="2010"/>
        </w:tabs>
        <w:spacing w:line="520" w:lineRule="exact"/>
        <w:rPr>
          <w:sz w:val="24"/>
          <w:lang w:eastAsia="zh-CN"/>
        </w:rPr>
      </w:pPr>
      <w:r>
        <w:rPr>
          <w:rFonts w:hint="eastAsia"/>
          <w:sz w:val="24"/>
          <w:lang w:eastAsia="zh-CN"/>
        </w:rPr>
        <w:t>2.乙方应在保修期内按照甲方要求提供免费保修服务，确保检维修设备的正常运行。乙方拒绝提供保修服务的，每次应向甲方支付违约金</w:t>
      </w:r>
      <w:r>
        <w:rPr>
          <w:rFonts w:hint="eastAsia"/>
          <w:color w:val="000000"/>
          <w:szCs w:val="21"/>
          <w:u w:val="single"/>
          <w:lang w:eastAsia="zh-CN"/>
        </w:rPr>
        <w:t xml:space="preserve">  </w:t>
      </w:r>
      <w:r>
        <w:rPr>
          <w:color w:val="000000"/>
          <w:szCs w:val="21"/>
          <w:u w:val="single"/>
          <w:lang w:eastAsia="zh-CN"/>
        </w:rPr>
        <w:t>2000</w:t>
      </w:r>
      <w:r>
        <w:rPr>
          <w:rFonts w:hint="eastAsia"/>
          <w:color w:val="000000"/>
          <w:szCs w:val="21"/>
          <w:u w:val="single"/>
          <w:lang w:eastAsia="zh-CN"/>
        </w:rPr>
        <w:t xml:space="preserve">  </w:t>
      </w:r>
      <w:r>
        <w:rPr>
          <w:rFonts w:hint="eastAsia"/>
          <w:sz w:val="24"/>
          <w:lang w:eastAsia="zh-CN"/>
        </w:rPr>
        <w:t>元；甲方亦有权委托第三方提供保修服务，费用由乙方承担。上述费用甲方可从质保款中直接扣除，不足部分乙方另行补足。</w:t>
      </w:r>
    </w:p>
    <w:p>
      <w:pPr>
        <w:tabs>
          <w:tab w:val="left" w:pos="2010"/>
        </w:tabs>
        <w:spacing w:line="520" w:lineRule="exact"/>
        <w:rPr>
          <w:b/>
          <w:sz w:val="28"/>
          <w:szCs w:val="28"/>
          <w:lang w:eastAsia="zh-CN"/>
        </w:rPr>
      </w:pPr>
      <w:r>
        <w:rPr>
          <w:rFonts w:hint="eastAsia"/>
          <w:b/>
          <w:sz w:val="28"/>
          <w:szCs w:val="28"/>
          <w:lang w:eastAsia="zh-CN"/>
        </w:rPr>
        <w:t>第七条 争议、违约和索赔</w:t>
      </w:r>
    </w:p>
    <w:p>
      <w:pPr>
        <w:tabs>
          <w:tab w:val="left" w:pos="2010"/>
        </w:tabs>
        <w:spacing w:line="520" w:lineRule="exact"/>
        <w:ind w:firstLine="241" w:firstLineChars="100"/>
        <w:rPr>
          <w:b/>
          <w:sz w:val="24"/>
          <w:lang w:eastAsia="zh-CN"/>
        </w:rPr>
      </w:pPr>
      <w:r>
        <w:rPr>
          <w:b/>
          <w:sz w:val="24"/>
          <w:lang w:eastAsia="zh-CN"/>
        </w:rPr>
        <w:t>1、争议：甲乙双方在履行合同过程中，发生争议和纠纷时，双方应友好协商解决，经协商无法解决时，应由甲方所在地法院解决。</w:t>
      </w:r>
    </w:p>
    <w:p>
      <w:pPr>
        <w:tabs>
          <w:tab w:val="left" w:pos="2010"/>
        </w:tabs>
        <w:spacing w:line="520" w:lineRule="exact"/>
        <w:ind w:firstLine="241" w:firstLineChars="100"/>
        <w:rPr>
          <w:b/>
          <w:sz w:val="24"/>
          <w:lang w:eastAsia="zh-CN"/>
        </w:rPr>
      </w:pPr>
      <w:r>
        <w:rPr>
          <w:b/>
          <w:sz w:val="24"/>
          <w:lang w:eastAsia="zh-CN"/>
        </w:rPr>
        <w:t>2、违约：任何一方未履行合同义务或履行合同义务不符合约定要求，应承担违约责任并向对方支付违约金，具体以下列约定为准。本条关于违约责任的约定，与合同其他条款关于违约责任的约定可同时适用。</w:t>
      </w:r>
    </w:p>
    <w:p>
      <w:pPr>
        <w:tabs>
          <w:tab w:val="left" w:pos="2010"/>
        </w:tabs>
        <w:spacing w:line="520" w:lineRule="exact"/>
        <w:ind w:firstLine="241" w:firstLineChars="100"/>
        <w:rPr>
          <w:b/>
          <w:sz w:val="24"/>
          <w:lang w:eastAsia="zh-CN"/>
        </w:rPr>
      </w:pPr>
      <w:r>
        <w:rPr>
          <w:b/>
          <w:sz w:val="24"/>
          <w:lang w:eastAsia="zh-CN"/>
        </w:rPr>
        <w:t xml:space="preserve">2 . 1 </w:t>
      </w:r>
      <w:r>
        <w:rPr>
          <w:rFonts w:hint="eastAsia"/>
          <w:b/>
          <w:sz w:val="24"/>
          <w:lang w:eastAsia="zh-CN"/>
        </w:rPr>
        <w:t>甲方未按照合同约定支付检维修服务费的，应按全国银行间同业拆借中心公布的贷款市场报价利率计算利息。</w:t>
      </w:r>
    </w:p>
    <w:p>
      <w:pPr>
        <w:tabs>
          <w:tab w:val="left" w:pos="2010"/>
        </w:tabs>
        <w:spacing w:line="520" w:lineRule="exact"/>
        <w:ind w:firstLine="241" w:firstLineChars="100"/>
        <w:rPr>
          <w:b/>
          <w:sz w:val="24"/>
          <w:lang w:eastAsia="zh-CN"/>
        </w:rPr>
      </w:pPr>
      <w:r>
        <w:rPr>
          <w:b/>
          <w:sz w:val="24"/>
          <w:lang w:eastAsia="zh-CN"/>
        </w:rPr>
        <w:t xml:space="preserve">2．2 </w:t>
      </w:r>
      <w:r>
        <w:rPr>
          <w:rFonts w:hint="eastAsia"/>
          <w:b/>
          <w:sz w:val="24"/>
          <w:lang w:eastAsia="zh-CN"/>
        </w:rPr>
        <w:t>乙方提供的检修服务达不到合同约定的质量标准，乙方应无偿返修或返工，并承担由此给甲方造成的损失。</w:t>
      </w:r>
    </w:p>
    <w:p>
      <w:pPr>
        <w:tabs>
          <w:tab w:val="left" w:pos="2010"/>
        </w:tabs>
        <w:spacing w:line="520" w:lineRule="exact"/>
        <w:ind w:firstLine="241" w:firstLineChars="100"/>
        <w:rPr>
          <w:b/>
          <w:sz w:val="24"/>
          <w:lang w:eastAsia="zh-CN"/>
        </w:rPr>
      </w:pPr>
      <w:r>
        <w:rPr>
          <w:b/>
          <w:sz w:val="24"/>
          <w:lang w:eastAsia="zh-CN"/>
        </w:rPr>
        <w:t xml:space="preserve">2．3 </w:t>
      </w:r>
      <w:r>
        <w:rPr>
          <w:rFonts w:hint="eastAsia"/>
          <w:b/>
          <w:sz w:val="24"/>
          <w:lang w:eastAsia="zh-CN"/>
        </w:rPr>
        <w:t>乙方违反施工规范、操作规范、技术要求等造成施工质量低劣及带来损失，甲方有权要求乙方整改，乙方不得拒绝接受甲方的整改通知。整改费用由乙方承担，并由乙方承担由此给甲方造成的损失。</w:t>
      </w:r>
    </w:p>
    <w:p>
      <w:pPr>
        <w:tabs>
          <w:tab w:val="left" w:pos="2010"/>
        </w:tabs>
        <w:spacing w:line="520" w:lineRule="exact"/>
        <w:ind w:firstLine="241" w:firstLineChars="100"/>
        <w:rPr>
          <w:b/>
          <w:sz w:val="24"/>
          <w:lang w:eastAsia="zh-CN"/>
        </w:rPr>
      </w:pPr>
      <w:r>
        <w:rPr>
          <w:b/>
          <w:sz w:val="24"/>
          <w:lang w:eastAsia="zh-CN"/>
        </w:rPr>
        <w:t xml:space="preserve">2.4 </w:t>
      </w:r>
      <w:r>
        <w:rPr>
          <w:rFonts w:hint="eastAsia"/>
          <w:b/>
          <w:sz w:val="24"/>
          <w:lang w:eastAsia="zh-CN"/>
        </w:rPr>
        <w:t>乙方未在甲方规定的工期期限内完成检维修施工的，每逾期一日，甲方有权扣减合同暂定总价的</w:t>
      </w:r>
      <w:r>
        <w:rPr>
          <w:b/>
          <w:color w:val="000000"/>
          <w:szCs w:val="21"/>
          <w:u w:val="single"/>
          <w:lang w:eastAsia="zh-CN"/>
        </w:rPr>
        <w:t xml:space="preserve">  0.1  </w:t>
      </w:r>
      <w:r>
        <w:rPr>
          <w:b/>
          <w:sz w:val="24"/>
          <w:lang w:eastAsia="zh-CN"/>
        </w:rPr>
        <w:t xml:space="preserve"> %的违约金；逾期超过</w:t>
      </w:r>
      <w:r>
        <w:rPr>
          <w:b/>
          <w:color w:val="000000"/>
          <w:szCs w:val="21"/>
          <w:u w:val="single"/>
          <w:lang w:eastAsia="zh-CN"/>
        </w:rPr>
        <w:t xml:space="preserve">  20  </w:t>
      </w:r>
      <w:r>
        <w:rPr>
          <w:rFonts w:hint="eastAsia"/>
          <w:b/>
          <w:sz w:val="24"/>
          <w:lang w:eastAsia="zh-CN"/>
        </w:rPr>
        <w:t>日的，甲方还有权解除本合同、拒绝结算，并要求乙方承担合同暂定总价</w:t>
      </w:r>
      <w:r>
        <w:rPr>
          <w:b/>
          <w:sz w:val="24"/>
          <w:lang w:eastAsia="zh-CN"/>
        </w:rPr>
        <w:t>10%的违约金</w:t>
      </w:r>
      <w:r>
        <w:rPr>
          <w:rFonts w:hint="eastAsia"/>
          <w:b/>
          <w:sz w:val="24"/>
          <w:lang w:eastAsia="zh-CN"/>
        </w:rPr>
        <w:t>。</w:t>
      </w:r>
    </w:p>
    <w:p>
      <w:pPr>
        <w:tabs>
          <w:tab w:val="left" w:pos="2010"/>
        </w:tabs>
        <w:spacing w:line="520" w:lineRule="exact"/>
        <w:ind w:firstLine="241" w:firstLineChars="100"/>
        <w:rPr>
          <w:b/>
          <w:sz w:val="24"/>
          <w:lang w:eastAsia="zh-CN"/>
        </w:rPr>
      </w:pPr>
      <w:r>
        <w:rPr>
          <w:b/>
          <w:sz w:val="24"/>
          <w:lang w:eastAsia="zh-CN"/>
        </w:rPr>
        <w:t xml:space="preserve">2.5 </w:t>
      </w:r>
      <w:r>
        <w:rPr>
          <w:rFonts w:hint="eastAsia"/>
          <w:b/>
          <w:sz w:val="24"/>
          <w:lang w:eastAsia="zh-CN"/>
        </w:rPr>
        <w:t>乙方检维修施工期间，因不可归责于甲方的原因造成甲方、乙方或第三方人身、财产损失的，乙方承担赔偿责任，不可抗力等法律另有规定的除外。</w:t>
      </w:r>
    </w:p>
    <w:p>
      <w:pPr>
        <w:tabs>
          <w:tab w:val="left" w:pos="2010"/>
        </w:tabs>
        <w:spacing w:line="520" w:lineRule="exact"/>
        <w:ind w:firstLine="241" w:firstLineChars="100"/>
        <w:rPr>
          <w:b/>
          <w:sz w:val="24"/>
          <w:lang w:eastAsia="zh-CN"/>
        </w:rPr>
      </w:pPr>
      <w:r>
        <w:rPr>
          <w:b/>
          <w:sz w:val="24"/>
          <w:lang w:eastAsia="zh-CN"/>
        </w:rPr>
        <w:t xml:space="preserve">2.6 </w:t>
      </w:r>
      <w:r>
        <w:rPr>
          <w:rFonts w:hint="eastAsia"/>
          <w:b/>
          <w:sz w:val="24"/>
          <w:lang w:eastAsia="zh-CN"/>
        </w:rPr>
        <w:t>乙方违反本合同约定，经甲方指出后未在甲方规定期限更正的，甲方视情况提前解除本合同并拒绝支付应付款项。</w:t>
      </w:r>
    </w:p>
    <w:p>
      <w:pPr>
        <w:tabs>
          <w:tab w:val="left" w:pos="2010"/>
        </w:tabs>
        <w:spacing w:line="520" w:lineRule="exact"/>
        <w:ind w:firstLine="241" w:firstLineChars="100"/>
        <w:rPr>
          <w:b/>
          <w:sz w:val="24"/>
          <w:szCs w:val="24"/>
          <w:lang w:eastAsia="zh-CN"/>
        </w:rPr>
      </w:pPr>
      <w:r>
        <w:rPr>
          <w:b/>
          <w:sz w:val="24"/>
          <w:lang w:eastAsia="zh-CN"/>
        </w:rPr>
        <w:t xml:space="preserve">2.7 </w:t>
      </w:r>
      <w:r>
        <w:rPr>
          <w:rFonts w:hint="eastAsia"/>
          <w:b/>
          <w:sz w:val="24"/>
          <w:szCs w:val="24"/>
          <w:lang w:eastAsia="zh-CN"/>
        </w:rPr>
        <w:t>为进一步明确甲乙双方在工程承包合同履行过程中的权利和义务及责任，保障人身安全和企业财产安全，依据《中华人民共和国安全生产法》、《中华人民共和国环境保护法》等相关法规及福建福海创石油化工有限公司</w:t>
      </w:r>
      <w:r>
        <w:rPr>
          <w:b/>
          <w:sz w:val="24"/>
          <w:szCs w:val="24"/>
          <w:lang w:eastAsia="zh-CN"/>
        </w:rPr>
        <w:t>HSE管理制度，经双方协商，双方自愿签订附件2</w:t>
      </w:r>
      <w:r>
        <w:rPr>
          <w:rFonts w:hint="eastAsia"/>
          <w:b/>
          <w:sz w:val="24"/>
          <w:szCs w:val="24"/>
          <w:lang w:eastAsia="zh-CN"/>
        </w:rPr>
        <w:t>《安全环保协议》，作为主合同的附件。</w:t>
      </w:r>
    </w:p>
    <w:p>
      <w:pPr>
        <w:pStyle w:val="32"/>
        <w:spacing w:line="360" w:lineRule="auto"/>
        <w:ind w:firstLine="482" w:firstLineChars="200"/>
        <w:rPr>
          <w:b/>
          <w:sz w:val="24"/>
          <w:szCs w:val="24"/>
          <w:lang w:eastAsia="zh-CN"/>
        </w:rPr>
      </w:pPr>
      <w:r>
        <w:rPr>
          <w:rFonts w:hAnsi="宋体" w:cs="宋体"/>
          <w:b/>
          <w:sz w:val="24"/>
          <w:szCs w:val="24"/>
          <w:lang w:eastAsia="zh-CN"/>
        </w:rPr>
        <w:t xml:space="preserve">2.8 </w:t>
      </w:r>
      <w:r>
        <w:rPr>
          <w:rFonts w:hint="eastAsia" w:hAnsi="宋体" w:cs="宋体"/>
          <w:b/>
          <w:sz w:val="24"/>
          <w:szCs w:val="24"/>
          <w:lang w:eastAsia="zh-CN"/>
        </w:rPr>
        <w:t>甲方已就本合同涉及乙方重大利害关系的条款向乙方进行详细说明，乙方理解这些条款的含义，并自愿签订本合同。</w:t>
      </w:r>
    </w:p>
    <w:p>
      <w:pPr>
        <w:tabs>
          <w:tab w:val="left" w:pos="2010"/>
        </w:tabs>
        <w:spacing w:line="520" w:lineRule="exact"/>
        <w:rPr>
          <w:b/>
          <w:sz w:val="28"/>
          <w:szCs w:val="28"/>
          <w:lang w:eastAsia="zh-CN"/>
        </w:rPr>
      </w:pPr>
      <w:r>
        <w:rPr>
          <w:rFonts w:hint="eastAsia"/>
          <w:b/>
          <w:sz w:val="28"/>
          <w:szCs w:val="28"/>
          <w:lang w:eastAsia="zh-CN"/>
        </w:rPr>
        <w:t>第八条 通知</w:t>
      </w:r>
    </w:p>
    <w:p>
      <w:pPr>
        <w:spacing w:line="360" w:lineRule="auto"/>
        <w:ind w:firstLine="600" w:firstLineChars="250"/>
        <w:rPr>
          <w:sz w:val="24"/>
          <w:lang w:eastAsia="zh-CN"/>
        </w:rPr>
      </w:pPr>
      <w:r>
        <w:rPr>
          <w:rFonts w:hint="eastAsia"/>
          <w:sz w:val="24"/>
          <w:lang w:eastAsia="zh-CN"/>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snapToGrid w:val="0"/>
        <w:spacing w:line="360" w:lineRule="auto"/>
        <w:ind w:firstLine="480" w:firstLineChars="200"/>
        <w:rPr>
          <w:sz w:val="24"/>
          <w:szCs w:val="24"/>
          <w:u w:val="single"/>
          <w:lang w:eastAsia="zh-CN"/>
        </w:rPr>
      </w:pPr>
      <w:r>
        <w:rPr>
          <w:rFonts w:hint="eastAsia" w:cs="Times New Roman"/>
          <w:sz w:val="24"/>
          <w:lang w:eastAsia="zh-CN"/>
        </w:rPr>
        <w:t>甲方联系人</w:t>
      </w:r>
      <w:r>
        <w:rPr>
          <w:rFonts w:hint="eastAsia"/>
          <w:sz w:val="24"/>
          <w:lang w:eastAsia="zh-CN"/>
        </w:rPr>
        <w:t>及联系方式</w:t>
      </w:r>
      <w:r>
        <w:rPr>
          <w:rFonts w:hint="eastAsia" w:cs="Times New Roman"/>
          <w:sz w:val="24"/>
          <w:lang w:eastAsia="zh-CN"/>
        </w:rPr>
        <w:t>：</w:t>
      </w:r>
      <w:r>
        <w:rPr>
          <w:rFonts w:hint="eastAsia"/>
          <w:sz w:val="24"/>
          <w:szCs w:val="24"/>
          <w:u w:val="single"/>
          <w:lang w:eastAsia="zh-CN"/>
        </w:rPr>
        <w:t>张晓平</w:t>
      </w:r>
      <w:r>
        <w:rPr>
          <w:sz w:val="24"/>
          <w:szCs w:val="24"/>
          <w:u w:val="single"/>
          <w:lang w:eastAsia="zh-CN"/>
        </w:rPr>
        <w:t>，18760658760，xpzhang1@fhcpec.com.cn</w:t>
      </w:r>
    </w:p>
    <w:p>
      <w:pPr>
        <w:snapToGrid w:val="0"/>
        <w:spacing w:line="360" w:lineRule="auto"/>
        <w:ind w:firstLine="480" w:firstLineChars="200"/>
        <w:rPr>
          <w:b/>
          <w:sz w:val="28"/>
          <w:szCs w:val="28"/>
          <w:lang w:eastAsia="zh-CN"/>
        </w:rPr>
      </w:pPr>
      <w:r>
        <w:rPr>
          <w:sz w:val="24"/>
          <w:szCs w:val="24"/>
          <w:lang w:eastAsia="zh-CN"/>
        </w:rPr>
        <w:t>乙方</w:t>
      </w:r>
      <w:r>
        <w:rPr>
          <w:rFonts w:hint="eastAsia"/>
          <w:sz w:val="24"/>
          <w:lang w:eastAsia="zh-CN"/>
        </w:rPr>
        <w:t>联系</w:t>
      </w:r>
      <w:r>
        <w:rPr>
          <w:sz w:val="24"/>
          <w:lang w:eastAsia="zh-CN"/>
        </w:rPr>
        <w:t>人及</w:t>
      </w:r>
      <w:r>
        <w:rPr>
          <w:sz w:val="24"/>
          <w:szCs w:val="24"/>
          <w:lang w:eastAsia="zh-CN"/>
        </w:rPr>
        <w:t>联系方式：</w:t>
      </w:r>
      <w:r>
        <w:rPr>
          <w:sz w:val="24"/>
          <w:szCs w:val="24"/>
          <w:u w:val="single"/>
          <w:lang w:eastAsia="zh-CN"/>
        </w:rPr>
        <w:t xml:space="preserve">                                        </w:t>
      </w:r>
      <w:r>
        <w:rPr>
          <w:b/>
          <w:sz w:val="28"/>
          <w:szCs w:val="28"/>
          <w:lang w:eastAsia="zh-CN"/>
        </w:rPr>
        <w:t xml:space="preserve">   </w:t>
      </w:r>
    </w:p>
    <w:p>
      <w:pPr>
        <w:tabs>
          <w:tab w:val="left" w:pos="2010"/>
        </w:tabs>
        <w:spacing w:line="520" w:lineRule="exact"/>
        <w:rPr>
          <w:b/>
          <w:sz w:val="28"/>
          <w:szCs w:val="28"/>
          <w:lang w:eastAsia="zh-CN"/>
        </w:rPr>
      </w:pPr>
      <w:r>
        <w:rPr>
          <w:rFonts w:hint="eastAsia"/>
          <w:b/>
          <w:sz w:val="28"/>
          <w:szCs w:val="28"/>
          <w:lang w:eastAsia="zh-CN"/>
        </w:rPr>
        <w:t>第九条 合同份数及生效、失效：</w:t>
      </w:r>
    </w:p>
    <w:p>
      <w:pPr>
        <w:tabs>
          <w:tab w:val="left" w:pos="2010"/>
        </w:tabs>
        <w:spacing w:line="520" w:lineRule="exact"/>
        <w:ind w:firstLine="360" w:firstLineChars="150"/>
        <w:rPr>
          <w:sz w:val="24"/>
          <w:lang w:eastAsia="zh-CN"/>
        </w:rPr>
      </w:pPr>
      <w:r>
        <w:rPr>
          <w:rFonts w:hint="eastAsia"/>
          <w:sz w:val="24"/>
          <w:lang w:eastAsia="zh-CN"/>
        </w:rPr>
        <w:t>1.本合同经双方签订后生效。合同正本伍份，甲方执肆份，乙方执壹份。</w:t>
      </w:r>
    </w:p>
    <w:p>
      <w:pPr>
        <w:tabs>
          <w:tab w:val="left" w:pos="2010"/>
        </w:tabs>
        <w:spacing w:line="520" w:lineRule="exact"/>
        <w:ind w:firstLine="360" w:firstLineChars="150"/>
        <w:rPr>
          <w:sz w:val="24"/>
          <w:lang w:eastAsia="zh-CN"/>
        </w:rPr>
      </w:pPr>
      <w:r>
        <w:rPr>
          <w:rFonts w:hint="eastAsia"/>
          <w:sz w:val="24"/>
          <w:lang w:eastAsia="zh-CN"/>
        </w:rPr>
        <w:t>2.本合同未尽事宜，如需更改经双方协商后可另签补充协议。</w:t>
      </w:r>
    </w:p>
    <w:p>
      <w:pPr>
        <w:pStyle w:val="2"/>
      </w:pPr>
    </w:p>
    <w:p>
      <w:pPr>
        <w:pStyle w:val="2"/>
      </w:pPr>
    </w:p>
    <w:p>
      <w:pPr>
        <w:tabs>
          <w:tab w:val="left" w:pos="2010"/>
        </w:tabs>
        <w:spacing w:line="520" w:lineRule="exact"/>
        <w:rPr>
          <w:b/>
          <w:sz w:val="28"/>
        </w:rPr>
      </w:pPr>
      <w:r>
        <w:rPr>
          <w:rFonts w:hint="eastAsia"/>
          <w:b/>
          <w:sz w:val="28"/>
        </w:rPr>
        <w:t>签字页</w:t>
      </w:r>
    </w:p>
    <w:p>
      <w:pPr>
        <w:pStyle w:val="2"/>
        <w:rPr>
          <w:lang w:eastAsia="en-US"/>
        </w:rPr>
      </w:pPr>
    </w:p>
    <w:p>
      <w:pPr>
        <w:spacing w:line="360" w:lineRule="auto"/>
        <w:ind w:left="-551" w:leftChars="-289" w:hanging="85" w:hangingChars="39"/>
        <w:rPr>
          <w:szCs w:val="21"/>
          <w:lang w:eastAsia="zh-CN"/>
        </w:rPr>
      </w:pPr>
      <w:r>
        <w:rPr>
          <w:rFonts w:hint="eastAsia"/>
          <w:szCs w:val="21"/>
          <w:lang w:eastAsia="zh-CN"/>
        </w:rPr>
        <w:t>（以下无正文）</w:t>
      </w:r>
    </w:p>
    <w:p>
      <w:pPr>
        <w:pStyle w:val="2"/>
      </w:pPr>
    </w:p>
    <w:tbl>
      <w:tblPr>
        <w:tblStyle w:val="60"/>
        <w:tblW w:w="8900" w:type="dxa"/>
        <w:tblInd w:w="89" w:type="dxa"/>
        <w:tblLayout w:type="autofit"/>
        <w:tblCellMar>
          <w:top w:w="0" w:type="dxa"/>
          <w:left w:w="108" w:type="dxa"/>
          <w:bottom w:w="0" w:type="dxa"/>
          <w:right w:w="108" w:type="dxa"/>
        </w:tblCellMar>
      </w:tblPr>
      <w:tblGrid>
        <w:gridCol w:w="4357"/>
        <w:gridCol w:w="4543"/>
      </w:tblGrid>
      <w:tr>
        <w:tblPrEx>
          <w:tblCellMar>
            <w:top w:w="0" w:type="dxa"/>
            <w:left w:w="108" w:type="dxa"/>
            <w:bottom w:w="0" w:type="dxa"/>
            <w:right w:w="108" w:type="dxa"/>
          </w:tblCellMar>
        </w:tblPrEx>
        <w:trPr>
          <w:trHeight w:val="510" w:hRule="atLeast"/>
        </w:trPr>
        <w:tc>
          <w:tcPr>
            <w:tcW w:w="4357" w:type="dxa"/>
            <w:noWrap/>
            <w:vAlign w:val="center"/>
          </w:tcPr>
          <w:p>
            <w:pPr>
              <w:widowControl/>
              <w:rPr>
                <w:sz w:val="21"/>
                <w:szCs w:val="21"/>
                <w:lang w:eastAsia="zh-CN"/>
              </w:rPr>
            </w:pPr>
            <w:r>
              <w:rPr>
                <w:rFonts w:hint="eastAsia"/>
                <w:sz w:val="21"/>
                <w:szCs w:val="21"/>
                <w:lang w:eastAsia="zh-CN"/>
              </w:rPr>
              <w:t>甲方：腾龙芳烃（漳州）有限公司</w:t>
            </w:r>
          </w:p>
        </w:tc>
        <w:tc>
          <w:tcPr>
            <w:tcW w:w="4543" w:type="dxa"/>
            <w:vAlign w:val="center"/>
          </w:tcPr>
          <w:p>
            <w:pPr>
              <w:ind w:left="248"/>
              <w:rPr>
                <w:sz w:val="21"/>
                <w:szCs w:val="21"/>
                <w:lang w:eastAsia="zh-CN"/>
              </w:rPr>
            </w:pPr>
            <w:r>
              <w:rPr>
                <w:rFonts w:hint="eastAsia"/>
                <w:sz w:val="21"/>
                <w:szCs w:val="21"/>
                <w:lang w:eastAsia="zh-CN"/>
              </w:rPr>
              <w:t xml:space="preserve">乙方： </w:t>
            </w:r>
          </w:p>
        </w:tc>
      </w:tr>
      <w:tr>
        <w:tblPrEx>
          <w:tblCellMar>
            <w:top w:w="0" w:type="dxa"/>
            <w:left w:w="108" w:type="dxa"/>
            <w:bottom w:w="0" w:type="dxa"/>
            <w:right w:w="108" w:type="dxa"/>
          </w:tblCellMar>
        </w:tblPrEx>
        <w:trPr>
          <w:trHeight w:val="510" w:hRule="atLeast"/>
        </w:trPr>
        <w:tc>
          <w:tcPr>
            <w:tcW w:w="4357" w:type="dxa"/>
            <w:noWrap/>
            <w:vAlign w:val="center"/>
          </w:tcPr>
          <w:p>
            <w:pPr>
              <w:widowControl/>
              <w:rPr>
                <w:sz w:val="21"/>
                <w:szCs w:val="21"/>
                <w:lang w:eastAsia="zh-CN"/>
              </w:rPr>
            </w:pPr>
            <w:r>
              <w:rPr>
                <w:rFonts w:hint="eastAsia"/>
                <w:sz w:val="21"/>
                <w:szCs w:val="21"/>
                <w:lang w:eastAsia="zh-CN"/>
              </w:rPr>
              <w:t>开户银行：兴业银行漳州古雷支行</w:t>
            </w:r>
          </w:p>
        </w:tc>
        <w:tc>
          <w:tcPr>
            <w:tcW w:w="4543" w:type="dxa"/>
            <w:vAlign w:val="center"/>
          </w:tcPr>
          <w:p>
            <w:pPr>
              <w:ind w:left="248"/>
              <w:rPr>
                <w:sz w:val="21"/>
                <w:szCs w:val="21"/>
                <w:lang w:eastAsia="zh-CN"/>
              </w:rPr>
            </w:pPr>
            <w:r>
              <w:rPr>
                <w:rFonts w:hint="eastAsia"/>
                <w:sz w:val="21"/>
                <w:szCs w:val="21"/>
                <w:lang w:eastAsia="zh-CN"/>
              </w:rPr>
              <w:t>开户银行：</w:t>
            </w:r>
            <w:r>
              <w:rPr>
                <w:sz w:val="21"/>
                <w:szCs w:val="21"/>
                <w:lang w:eastAsia="zh-CN"/>
              </w:rPr>
              <w:t xml:space="preserve"> </w:t>
            </w:r>
          </w:p>
        </w:tc>
      </w:tr>
      <w:tr>
        <w:tblPrEx>
          <w:tblCellMar>
            <w:top w:w="0" w:type="dxa"/>
            <w:left w:w="108" w:type="dxa"/>
            <w:bottom w:w="0" w:type="dxa"/>
            <w:right w:w="108" w:type="dxa"/>
          </w:tblCellMar>
        </w:tblPrEx>
        <w:trPr>
          <w:trHeight w:val="510" w:hRule="atLeast"/>
        </w:trPr>
        <w:tc>
          <w:tcPr>
            <w:tcW w:w="4357" w:type="dxa"/>
            <w:noWrap/>
            <w:vAlign w:val="center"/>
          </w:tcPr>
          <w:p>
            <w:pPr>
              <w:widowControl/>
              <w:spacing w:line="480" w:lineRule="auto"/>
              <w:rPr>
                <w:sz w:val="21"/>
                <w:szCs w:val="21"/>
                <w:lang w:eastAsia="zh-CN"/>
              </w:rPr>
            </w:pPr>
            <w:r>
              <w:rPr>
                <w:rFonts w:hint="eastAsia"/>
                <w:sz w:val="21"/>
                <w:szCs w:val="21"/>
                <w:lang w:eastAsia="zh-CN"/>
              </w:rPr>
              <w:t>帐    号：1</w:t>
            </w:r>
            <w:r>
              <w:rPr>
                <w:sz w:val="21"/>
                <w:szCs w:val="21"/>
                <w:lang w:eastAsia="zh-CN"/>
              </w:rPr>
              <w:t>62070100100021071</w:t>
            </w:r>
          </w:p>
        </w:tc>
        <w:tc>
          <w:tcPr>
            <w:tcW w:w="4543" w:type="dxa"/>
            <w:vAlign w:val="center"/>
          </w:tcPr>
          <w:p>
            <w:pPr>
              <w:ind w:left="248"/>
              <w:rPr>
                <w:sz w:val="21"/>
                <w:szCs w:val="21"/>
                <w:lang w:eastAsia="zh-CN"/>
              </w:rPr>
            </w:pPr>
            <w:r>
              <w:rPr>
                <w:rFonts w:hint="eastAsia"/>
                <w:sz w:val="21"/>
                <w:szCs w:val="21"/>
                <w:lang w:eastAsia="zh-CN"/>
              </w:rPr>
              <w:t>帐    号：</w:t>
            </w:r>
          </w:p>
        </w:tc>
      </w:tr>
    </w:tbl>
    <w:p>
      <w:pPr>
        <w:widowControl/>
        <w:rPr>
          <w:b/>
          <w:sz w:val="32"/>
          <w:szCs w:val="32"/>
        </w:rPr>
      </w:pPr>
      <w:r>
        <w:rPr>
          <w:b/>
          <w:sz w:val="32"/>
          <w:szCs w:val="32"/>
        </w:rPr>
        <w:br w:type="page"/>
      </w:r>
    </w:p>
    <w:p>
      <w:pPr>
        <w:spacing w:line="360" w:lineRule="auto"/>
        <w:jc w:val="center"/>
        <w:rPr>
          <w:b/>
          <w:sz w:val="36"/>
          <w:szCs w:val="36"/>
          <w:lang w:eastAsia="zh-CN"/>
        </w:rPr>
      </w:pPr>
      <w:r>
        <w:rPr>
          <w:b/>
          <w:sz w:val="36"/>
          <w:szCs w:val="36"/>
          <w:lang w:eastAsia="zh-CN"/>
        </w:rPr>
        <w:t>附件</w:t>
      </w:r>
      <w:r>
        <w:rPr>
          <w:rFonts w:hint="eastAsia"/>
          <w:b/>
          <w:sz w:val="36"/>
          <w:szCs w:val="36"/>
          <w:lang w:eastAsia="zh-CN"/>
        </w:rPr>
        <w:t>1、腾龙芳烃（漳州）有限公司热电厂</w:t>
      </w:r>
    </w:p>
    <w:p>
      <w:pPr>
        <w:spacing w:line="360" w:lineRule="auto"/>
        <w:jc w:val="center"/>
        <w:rPr>
          <w:b/>
          <w:sz w:val="36"/>
          <w:szCs w:val="36"/>
          <w:lang w:eastAsia="zh-CN"/>
        </w:rPr>
      </w:pPr>
      <w:r>
        <w:rPr>
          <w:rFonts w:hint="eastAsia"/>
          <w:b/>
          <w:sz w:val="36"/>
          <w:szCs w:val="36"/>
          <w:lang w:eastAsia="zh-CN"/>
        </w:rPr>
        <w:t>锅炉火检风源管改造技术规范书</w:t>
      </w:r>
    </w:p>
    <w:p>
      <w:pPr>
        <w:snapToGrid w:val="0"/>
        <w:spacing w:line="360" w:lineRule="auto"/>
        <w:jc w:val="center"/>
        <w:rPr>
          <w:sz w:val="36"/>
        </w:rPr>
      </w:pPr>
      <w:r>
        <w:rPr>
          <w:rFonts w:hint="eastAsia"/>
          <w:sz w:val="36"/>
        </w:rPr>
        <w:t>目    录</w:t>
      </w:r>
    </w:p>
    <w:p>
      <w:pPr>
        <w:pStyle w:val="41"/>
        <w:tabs>
          <w:tab w:val="right" w:leader="dot" w:pos="8382"/>
        </w:tabs>
      </w:pPr>
      <w:r>
        <w:rPr>
          <w:rFonts w:ascii="宋体" w:hAnsi="宋体"/>
          <w:bCs w:val="0"/>
        </w:rPr>
        <w:fldChar w:fldCharType="begin"/>
      </w:r>
      <w:r>
        <w:rPr>
          <w:rFonts w:ascii="宋体" w:hAnsi="宋体"/>
          <w:bCs w:val="0"/>
        </w:rPr>
        <w:instrText xml:space="preserve"> TOC \o "1-3" \h \z \u </w:instrText>
      </w:r>
      <w:r>
        <w:rPr>
          <w:rFonts w:ascii="宋体" w:hAnsi="宋体"/>
          <w:bCs w:val="0"/>
        </w:rPr>
        <w:fldChar w:fldCharType="end"/>
      </w:r>
    </w:p>
    <w:p>
      <w:pPr>
        <w:spacing w:line="360" w:lineRule="auto"/>
        <w:jc w:val="center"/>
        <w:rPr>
          <w:b/>
          <w:sz w:val="36"/>
          <w:szCs w:val="36"/>
          <w:lang w:eastAsia="zh-CN"/>
        </w:rPr>
      </w:pPr>
    </w:p>
    <w:p>
      <w:pPr>
        <w:pStyle w:val="41"/>
        <w:tabs>
          <w:tab w:val="right" w:leader="dot" w:pos="8382"/>
        </w:tabs>
        <w:rPr>
          <w:bCs w:val="0"/>
          <w:caps w:val="0"/>
          <w:kern w:val="2"/>
          <w:sz w:val="21"/>
          <w:szCs w:val="22"/>
        </w:rPr>
      </w:pPr>
      <w:r>
        <w:rPr>
          <w:rFonts w:ascii="宋体" w:hAnsi="宋体"/>
          <w:bCs w:val="0"/>
        </w:rPr>
        <w:fldChar w:fldCharType="begin"/>
      </w:r>
      <w:r>
        <w:rPr>
          <w:rFonts w:ascii="宋体" w:hAnsi="宋体"/>
          <w:bCs w:val="0"/>
        </w:rPr>
        <w:instrText xml:space="preserve"> TOC \o "1-3" \h \z \u </w:instrText>
      </w:r>
      <w:r>
        <w:rPr>
          <w:rFonts w:ascii="宋体" w:hAnsi="宋体"/>
          <w:bCs w:val="0"/>
        </w:rPr>
        <w:fldChar w:fldCharType="separate"/>
      </w:r>
      <w:r>
        <w:fldChar w:fldCharType="begin"/>
      </w:r>
      <w:r>
        <w:instrText xml:space="preserve"> HYPERLINK \l "_Toc103591608" </w:instrText>
      </w:r>
      <w:r>
        <w:fldChar w:fldCharType="separate"/>
      </w:r>
      <w:r>
        <w:rPr>
          <w:rStyle w:val="69"/>
          <w:rFonts w:hint="eastAsia"/>
        </w:rPr>
        <w:t>附件一</w:t>
      </w:r>
      <w:r>
        <w:rPr>
          <w:rStyle w:val="69"/>
        </w:rPr>
        <w:t xml:space="preserve">  </w:t>
      </w:r>
      <w:r>
        <w:rPr>
          <w:rStyle w:val="69"/>
          <w:rFonts w:hint="eastAsia"/>
        </w:rPr>
        <w:t>技术规范</w:t>
      </w:r>
      <w:r>
        <w:tab/>
      </w:r>
      <w:r>
        <w:t>2</w:t>
      </w:r>
      <w:r>
        <w:fldChar w:fldCharType="begin"/>
      </w:r>
      <w:r>
        <w:instrText xml:space="preserve"> PAGEREF _Toc103591608 \h </w:instrText>
      </w:r>
      <w:r>
        <w:fldChar w:fldCharType="separate"/>
      </w:r>
      <w:r>
        <w:t>1</w:t>
      </w:r>
      <w:r>
        <w:fldChar w:fldCharType="end"/>
      </w:r>
      <w:r>
        <w:fldChar w:fldCharType="end"/>
      </w:r>
    </w:p>
    <w:p>
      <w:pPr>
        <w:pStyle w:val="41"/>
        <w:tabs>
          <w:tab w:val="right" w:leader="dot" w:pos="8382"/>
        </w:tabs>
        <w:rPr>
          <w:bCs w:val="0"/>
          <w:caps w:val="0"/>
          <w:kern w:val="2"/>
          <w:sz w:val="21"/>
          <w:szCs w:val="22"/>
        </w:rPr>
      </w:pPr>
      <w:r>
        <w:fldChar w:fldCharType="begin"/>
      </w:r>
      <w:r>
        <w:instrText xml:space="preserve"> HYPERLINK \l "_Toc103591609" </w:instrText>
      </w:r>
      <w:r>
        <w:fldChar w:fldCharType="separate"/>
      </w:r>
      <w:r>
        <w:rPr>
          <w:rStyle w:val="69"/>
          <w:rFonts w:hint="eastAsia"/>
        </w:rPr>
        <w:t>附件二</w:t>
      </w:r>
      <w:r>
        <w:rPr>
          <w:rStyle w:val="69"/>
        </w:rPr>
        <w:t xml:space="preserve">  </w:t>
      </w:r>
      <w:r>
        <w:rPr>
          <w:rStyle w:val="69"/>
          <w:rFonts w:hint="eastAsia"/>
        </w:rPr>
        <w:t>设计、施工、供货范围及要求</w:t>
      </w:r>
      <w:r>
        <w:tab/>
      </w:r>
      <w:r>
        <w:t>2</w:t>
      </w:r>
      <w:r>
        <w:fldChar w:fldCharType="begin"/>
      </w:r>
      <w:r>
        <w:instrText xml:space="preserve"> PAGEREF _Toc103591609 \h </w:instrText>
      </w:r>
      <w:r>
        <w:fldChar w:fldCharType="separate"/>
      </w:r>
      <w:r>
        <w:t>6</w:t>
      </w:r>
      <w:r>
        <w:fldChar w:fldCharType="end"/>
      </w:r>
      <w:r>
        <w:fldChar w:fldCharType="end"/>
      </w:r>
    </w:p>
    <w:p>
      <w:pPr>
        <w:pStyle w:val="49"/>
        <w:tabs>
          <w:tab w:val="right" w:leader="dot" w:pos="8382"/>
        </w:tabs>
        <w:rPr>
          <w:rFonts w:ascii="Calibri" w:hAnsi="Calibri"/>
          <w:smallCaps w:val="0"/>
          <w:kern w:val="2"/>
          <w:sz w:val="21"/>
          <w:szCs w:val="22"/>
        </w:rPr>
      </w:pPr>
      <w:r>
        <w:fldChar w:fldCharType="begin"/>
      </w:r>
      <w:r>
        <w:instrText xml:space="preserve"> HYPERLINK \l "_Toc103591610" </w:instrText>
      </w:r>
      <w:r>
        <w:fldChar w:fldCharType="separate"/>
      </w:r>
      <w:r>
        <w:rPr>
          <w:rStyle w:val="69"/>
        </w:rPr>
        <w:t>3.2.1</w:t>
      </w:r>
      <w:r>
        <w:rPr>
          <w:rStyle w:val="69"/>
          <w:rFonts w:hint="eastAsia"/>
        </w:rPr>
        <w:t>安全生产措施</w:t>
      </w:r>
      <w:r>
        <w:tab/>
      </w:r>
      <w:r>
        <w:t>2</w:t>
      </w:r>
      <w:r>
        <w:fldChar w:fldCharType="begin"/>
      </w:r>
      <w:r>
        <w:instrText xml:space="preserve"> PAGEREF _Toc103591610 \h </w:instrText>
      </w:r>
      <w:r>
        <w:fldChar w:fldCharType="separate"/>
      </w:r>
      <w:r>
        <w:t>7</w:t>
      </w:r>
      <w:r>
        <w:fldChar w:fldCharType="end"/>
      </w:r>
      <w:r>
        <w:fldChar w:fldCharType="end"/>
      </w:r>
    </w:p>
    <w:p>
      <w:pPr>
        <w:pStyle w:val="49"/>
        <w:tabs>
          <w:tab w:val="right" w:leader="dot" w:pos="8382"/>
        </w:tabs>
        <w:rPr>
          <w:rFonts w:ascii="Calibri" w:hAnsi="Calibri"/>
          <w:smallCaps w:val="0"/>
          <w:kern w:val="2"/>
          <w:sz w:val="21"/>
          <w:szCs w:val="22"/>
        </w:rPr>
      </w:pPr>
      <w:r>
        <w:fldChar w:fldCharType="begin"/>
      </w:r>
      <w:r>
        <w:instrText xml:space="preserve"> HYPERLINK \l "_Toc103591611" </w:instrText>
      </w:r>
      <w:r>
        <w:fldChar w:fldCharType="separate"/>
      </w:r>
      <w:r>
        <w:rPr>
          <w:rStyle w:val="69"/>
        </w:rPr>
        <w:t>3.2.2</w:t>
      </w:r>
      <w:r>
        <w:rPr>
          <w:rStyle w:val="69"/>
          <w:rFonts w:hint="eastAsia"/>
        </w:rPr>
        <w:t>安全用电措施</w:t>
      </w:r>
      <w:r>
        <w:tab/>
      </w:r>
      <w:r>
        <w:t>2</w:t>
      </w:r>
      <w:r>
        <w:fldChar w:fldCharType="begin"/>
      </w:r>
      <w:r>
        <w:instrText xml:space="preserve"> PAGEREF _Toc103591611 \h </w:instrText>
      </w:r>
      <w:r>
        <w:fldChar w:fldCharType="separate"/>
      </w:r>
      <w:r>
        <w:t>8</w:t>
      </w:r>
      <w:r>
        <w:fldChar w:fldCharType="end"/>
      </w:r>
      <w:r>
        <w:fldChar w:fldCharType="end"/>
      </w:r>
    </w:p>
    <w:p>
      <w:pPr>
        <w:pStyle w:val="49"/>
        <w:tabs>
          <w:tab w:val="right" w:leader="dot" w:pos="8382"/>
        </w:tabs>
        <w:rPr>
          <w:rFonts w:ascii="Calibri" w:hAnsi="Calibri"/>
          <w:smallCaps w:val="0"/>
          <w:kern w:val="2"/>
          <w:sz w:val="21"/>
          <w:szCs w:val="22"/>
        </w:rPr>
      </w:pPr>
      <w:r>
        <w:fldChar w:fldCharType="begin"/>
      </w:r>
      <w:r>
        <w:instrText xml:space="preserve"> HYPERLINK \l "_Toc103591612" </w:instrText>
      </w:r>
      <w:r>
        <w:fldChar w:fldCharType="separate"/>
      </w:r>
      <w:r>
        <w:rPr>
          <w:rStyle w:val="69"/>
        </w:rPr>
        <w:t>3.2.3</w:t>
      </w:r>
      <w:r>
        <w:rPr>
          <w:rStyle w:val="69"/>
          <w:rFonts w:hint="eastAsia"/>
        </w:rPr>
        <w:t>安全防火措施</w:t>
      </w:r>
      <w:r>
        <w:tab/>
      </w:r>
      <w:r>
        <w:t>2</w:t>
      </w:r>
      <w:r>
        <w:fldChar w:fldCharType="begin"/>
      </w:r>
      <w:r>
        <w:instrText xml:space="preserve"> PAGEREF _Toc103591612 \h </w:instrText>
      </w:r>
      <w:r>
        <w:fldChar w:fldCharType="separate"/>
      </w:r>
      <w:r>
        <w:t>8</w:t>
      </w:r>
      <w:r>
        <w:fldChar w:fldCharType="end"/>
      </w:r>
      <w:r>
        <w:fldChar w:fldCharType="end"/>
      </w:r>
    </w:p>
    <w:p>
      <w:pPr>
        <w:pStyle w:val="49"/>
        <w:tabs>
          <w:tab w:val="right" w:leader="dot" w:pos="8382"/>
        </w:tabs>
        <w:rPr>
          <w:rFonts w:ascii="Calibri" w:hAnsi="Calibri"/>
          <w:smallCaps w:val="0"/>
          <w:kern w:val="2"/>
          <w:sz w:val="21"/>
          <w:szCs w:val="22"/>
        </w:rPr>
      </w:pPr>
      <w:r>
        <w:fldChar w:fldCharType="begin"/>
      </w:r>
      <w:r>
        <w:instrText xml:space="preserve"> HYPERLINK \l "_Toc103591613" </w:instrText>
      </w:r>
      <w:r>
        <w:fldChar w:fldCharType="separate"/>
      </w:r>
      <w:r>
        <w:rPr>
          <w:rStyle w:val="69"/>
        </w:rPr>
        <w:t>3.2.4</w:t>
      </w:r>
      <w:r>
        <w:rPr>
          <w:rStyle w:val="69"/>
          <w:rFonts w:hint="eastAsia"/>
        </w:rPr>
        <w:t>安全目标及责任目标分解</w:t>
      </w:r>
      <w:r>
        <w:tab/>
      </w:r>
      <w:r>
        <w:t>2</w:t>
      </w:r>
      <w:r>
        <w:fldChar w:fldCharType="begin"/>
      </w:r>
      <w:r>
        <w:instrText xml:space="preserve"> PAGEREF _Toc103591613 \h </w:instrText>
      </w:r>
      <w:r>
        <w:fldChar w:fldCharType="separate"/>
      </w:r>
      <w:r>
        <w:t>8</w:t>
      </w:r>
      <w:r>
        <w:fldChar w:fldCharType="end"/>
      </w:r>
      <w:r>
        <w:fldChar w:fldCharType="end"/>
      </w:r>
    </w:p>
    <w:p>
      <w:pPr>
        <w:pStyle w:val="49"/>
        <w:tabs>
          <w:tab w:val="right" w:leader="dot" w:pos="8382"/>
        </w:tabs>
        <w:rPr>
          <w:rFonts w:ascii="Calibri" w:hAnsi="Calibri"/>
          <w:smallCaps w:val="0"/>
          <w:kern w:val="2"/>
          <w:sz w:val="21"/>
          <w:szCs w:val="22"/>
        </w:rPr>
      </w:pPr>
      <w:r>
        <w:fldChar w:fldCharType="begin"/>
      </w:r>
      <w:r>
        <w:instrText xml:space="preserve"> HYPERLINK \l "_Toc103591614" </w:instrText>
      </w:r>
      <w:r>
        <w:fldChar w:fldCharType="separate"/>
      </w:r>
      <w:r>
        <w:rPr>
          <w:rStyle w:val="69"/>
        </w:rPr>
        <w:t>3.2.5</w:t>
      </w:r>
      <w:r>
        <w:rPr>
          <w:rStyle w:val="69"/>
          <w:rFonts w:hint="eastAsia"/>
        </w:rPr>
        <w:t>安全组织保证体系</w:t>
      </w:r>
      <w:r>
        <w:tab/>
      </w:r>
      <w:r>
        <w:t>2</w:t>
      </w:r>
      <w:r>
        <w:fldChar w:fldCharType="begin"/>
      </w:r>
      <w:r>
        <w:instrText xml:space="preserve"> PAGEREF _Toc103591614 \h </w:instrText>
      </w:r>
      <w:r>
        <w:fldChar w:fldCharType="separate"/>
      </w:r>
      <w:r>
        <w:t>9</w:t>
      </w:r>
      <w:r>
        <w:fldChar w:fldCharType="end"/>
      </w:r>
      <w:r>
        <w:fldChar w:fldCharType="end"/>
      </w:r>
    </w:p>
    <w:p>
      <w:pPr>
        <w:pStyle w:val="49"/>
        <w:tabs>
          <w:tab w:val="right" w:leader="dot" w:pos="8382"/>
        </w:tabs>
        <w:rPr>
          <w:rFonts w:ascii="Calibri" w:hAnsi="Calibri"/>
          <w:smallCaps w:val="0"/>
          <w:kern w:val="2"/>
          <w:sz w:val="21"/>
          <w:szCs w:val="22"/>
        </w:rPr>
      </w:pPr>
      <w:r>
        <w:fldChar w:fldCharType="begin"/>
      </w:r>
      <w:r>
        <w:instrText xml:space="preserve"> HYPERLINK \l "_Toc103591615" </w:instrText>
      </w:r>
      <w:r>
        <w:fldChar w:fldCharType="separate"/>
      </w:r>
      <w:r>
        <w:rPr>
          <w:rStyle w:val="69"/>
        </w:rPr>
        <w:t>3.2.6</w:t>
      </w:r>
      <w:r>
        <w:rPr>
          <w:rStyle w:val="69"/>
          <w:rFonts w:hint="eastAsia"/>
        </w:rPr>
        <w:t>安全生产教育与培训制度</w:t>
      </w:r>
      <w:r>
        <w:tab/>
      </w:r>
      <w:r>
        <w:t>2</w:t>
      </w:r>
      <w:r>
        <w:fldChar w:fldCharType="begin"/>
      </w:r>
      <w:r>
        <w:instrText xml:space="preserve"> PAGEREF _Toc103591615 \h </w:instrText>
      </w:r>
      <w:r>
        <w:fldChar w:fldCharType="separate"/>
      </w:r>
      <w:r>
        <w:t>9</w:t>
      </w:r>
      <w:r>
        <w:fldChar w:fldCharType="end"/>
      </w:r>
      <w:r>
        <w:fldChar w:fldCharType="end"/>
      </w:r>
    </w:p>
    <w:p>
      <w:pPr>
        <w:pStyle w:val="49"/>
        <w:tabs>
          <w:tab w:val="right" w:leader="dot" w:pos="8382"/>
        </w:tabs>
        <w:rPr>
          <w:rFonts w:ascii="Calibri" w:hAnsi="Calibri"/>
          <w:smallCaps w:val="0"/>
          <w:kern w:val="2"/>
          <w:sz w:val="21"/>
          <w:szCs w:val="22"/>
        </w:rPr>
      </w:pPr>
      <w:r>
        <w:fldChar w:fldCharType="begin"/>
      </w:r>
      <w:r>
        <w:instrText xml:space="preserve"> HYPERLINK \l "_Toc103591616" </w:instrText>
      </w:r>
      <w:r>
        <w:fldChar w:fldCharType="separate"/>
      </w:r>
      <w:r>
        <w:rPr>
          <w:rStyle w:val="69"/>
        </w:rPr>
        <w:t>3.2.7</w:t>
      </w:r>
      <w:r>
        <w:rPr>
          <w:rStyle w:val="69"/>
          <w:rFonts w:hint="eastAsia"/>
        </w:rPr>
        <w:t>班前安全活动制度</w:t>
      </w:r>
      <w:r>
        <w:tab/>
      </w:r>
      <w:r>
        <w:t>2</w:t>
      </w:r>
      <w:r>
        <w:fldChar w:fldCharType="begin"/>
      </w:r>
      <w:r>
        <w:instrText xml:space="preserve"> PAGEREF _Toc103591616 \h </w:instrText>
      </w:r>
      <w:r>
        <w:fldChar w:fldCharType="separate"/>
      </w:r>
      <w:r>
        <w:t>9</w:t>
      </w:r>
      <w:r>
        <w:fldChar w:fldCharType="end"/>
      </w:r>
      <w:r>
        <w:fldChar w:fldCharType="end"/>
      </w:r>
    </w:p>
    <w:p>
      <w:pPr>
        <w:pStyle w:val="49"/>
        <w:tabs>
          <w:tab w:val="right" w:leader="dot" w:pos="8382"/>
        </w:tabs>
        <w:rPr>
          <w:rFonts w:ascii="Calibri" w:hAnsi="Calibri"/>
          <w:smallCaps w:val="0"/>
          <w:kern w:val="2"/>
          <w:sz w:val="21"/>
          <w:szCs w:val="22"/>
        </w:rPr>
      </w:pPr>
      <w:r>
        <w:fldChar w:fldCharType="begin"/>
      </w:r>
      <w:r>
        <w:instrText xml:space="preserve"> HYPERLINK \l "_Toc103591617" </w:instrText>
      </w:r>
      <w:r>
        <w:fldChar w:fldCharType="separate"/>
      </w:r>
      <w:r>
        <w:rPr>
          <w:rStyle w:val="69"/>
        </w:rPr>
        <w:t>3.2.8</w:t>
      </w:r>
      <w:r>
        <w:rPr>
          <w:rStyle w:val="69"/>
          <w:rFonts w:hint="eastAsia"/>
        </w:rPr>
        <w:t>安全生产检查、验收制度</w:t>
      </w:r>
      <w:r>
        <w:tab/>
      </w:r>
      <w:r>
        <w:t>2</w:t>
      </w:r>
      <w:r>
        <w:fldChar w:fldCharType="begin"/>
      </w:r>
      <w:r>
        <w:instrText xml:space="preserve"> PAGEREF _Toc103591617 \h </w:instrText>
      </w:r>
      <w:r>
        <w:fldChar w:fldCharType="separate"/>
      </w:r>
      <w:r>
        <w:t>9</w:t>
      </w:r>
      <w:r>
        <w:fldChar w:fldCharType="end"/>
      </w:r>
      <w:r>
        <w:fldChar w:fldCharType="end"/>
      </w:r>
    </w:p>
    <w:p>
      <w:pPr>
        <w:pStyle w:val="49"/>
        <w:tabs>
          <w:tab w:val="right" w:leader="dot" w:pos="8382"/>
        </w:tabs>
        <w:rPr>
          <w:rFonts w:ascii="Calibri" w:hAnsi="Calibri"/>
          <w:smallCaps w:val="0"/>
          <w:kern w:val="2"/>
          <w:sz w:val="21"/>
          <w:szCs w:val="22"/>
        </w:rPr>
      </w:pPr>
      <w:r>
        <w:fldChar w:fldCharType="begin"/>
      </w:r>
      <w:r>
        <w:instrText xml:space="preserve"> HYPERLINK \l "_Toc103591618" </w:instrText>
      </w:r>
      <w:r>
        <w:fldChar w:fldCharType="separate"/>
      </w:r>
      <w:r>
        <w:rPr>
          <w:rStyle w:val="69"/>
        </w:rPr>
        <w:t>3.2.9</w:t>
      </w:r>
      <w:r>
        <w:rPr>
          <w:rStyle w:val="69"/>
          <w:rFonts w:hint="eastAsia"/>
        </w:rPr>
        <w:t>安全技术交底制度</w:t>
      </w:r>
      <w:r>
        <w:tab/>
      </w:r>
      <w:r>
        <w:fldChar w:fldCharType="begin"/>
      </w:r>
      <w:r>
        <w:instrText xml:space="preserve"> PAGEREF _Toc103591618 \h </w:instrText>
      </w:r>
      <w:r>
        <w:fldChar w:fldCharType="separate"/>
      </w:r>
      <w:r>
        <w:t>30</w:t>
      </w:r>
      <w:r>
        <w:fldChar w:fldCharType="end"/>
      </w:r>
      <w:r>
        <w:fldChar w:fldCharType="end"/>
      </w:r>
    </w:p>
    <w:p>
      <w:pPr>
        <w:pStyle w:val="49"/>
        <w:tabs>
          <w:tab w:val="right" w:leader="dot" w:pos="8382"/>
        </w:tabs>
        <w:rPr>
          <w:rFonts w:ascii="Calibri" w:hAnsi="Calibri"/>
          <w:smallCaps w:val="0"/>
          <w:kern w:val="2"/>
          <w:sz w:val="21"/>
          <w:szCs w:val="22"/>
        </w:rPr>
      </w:pPr>
      <w:r>
        <w:fldChar w:fldCharType="begin"/>
      </w:r>
      <w:r>
        <w:instrText xml:space="preserve"> HYPERLINK \l "_Toc103591619" </w:instrText>
      </w:r>
      <w:r>
        <w:fldChar w:fldCharType="separate"/>
      </w:r>
      <w:r>
        <w:rPr>
          <w:rStyle w:val="69"/>
        </w:rPr>
        <w:t>3.2.10</w:t>
      </w:r>
      <w:r>
        <w:rPr>
          <w:rStyle w:val="69"/>
          <w:rFonts w:hint="eastAsia"/>
        </w:rPr>
        <w:t>特种作业人员持证上岗制度</w:t>
      </w:r>
      <w:r>
        <w:tab/>
      </w:r>
      <w:r>
        <w:fldChar w:fldCharType="begin"/>
      </w:r>
      <w:r>
        <w:instrText xml:space="preserve"> PAGEREF _Toc103591619 \h </w:instrText>
      </w:r>
      <w:r>
        <w:fldChar w:fldCharType="separate"/>
      </w:r>
      <w:r>
        <w:t>30</w:t>
      </w:r>
      <w:r>
        <w:fldChar w:fldCharType="end"/>
      </w:r>
      <w:r>
        <w:fldChar w:fldCharType="end"/>
      </w:r>
    </w:p>
    <w:p>
      <w:pPr>
        <w:pStyle w:val="49"/>
        <w:tabs>
          <w:tab w:val="right" w:leader="dot" w:pos="8382"/>
        </w:tabs>
        <w:rPr>
          <w:rFonts w:ascii="Calibri" w:hAnsi="Calibri"/>
          <w:smallCaps w:val="0"/>
          <w:kern w:val="2"/>
          <w:sz w:val="21"/>
          <w:szCs w:val="22"/>
        </w:rPr>
      </w:pPr>
      <w:r>
        <w:fldChar w:fldCharType="begin"/>
      </w:r>
      <w:r>
        <w:instrText xml:space="preserve"> HYPERLINK \l "_Toc103591620" </w:instrText>
      </w:r>
      <w:r>
        <w:fldChar w:fldCharType="separate"/>
      </w:r>
      <w:r>
        <w:rPr>
          <w:rStyle w:val="69"/>
        </w:rPr>
        <w:t>3.2.11</w:t>
      </w:r>
      <w:r>
        <w:rPr>
          <w:rStyle w:val="69"/>
          <w:rFonts w:hint="eastAsia"/>
        </w:rPr>
        <w:t>施工现场消防管理制度</w:t>
      </w:r>
      <w:r>
        <w:tab/>
      </w:r>
      <w:r>
        <w:fldChar w:fldCharType="begin"/>
      </w:r>
      <w:r>
        <w:instrText xml:space="preserve"> PAGEREF _Toc103591620 \h </w:instrText>
      </w:r>
      <w:r>
        <w:fldChar w:fldCharType="separate"/>
      </w:r>
      <w:r>
        <w:t>31</w:t>
      </w:r>
      <w:r>
        <w:fldChar w:fldCharType="end"/>
      </w:r>
      <w:r>
        <w:fldChar w:fldCharType="end"/>
      </w:r>
    </w:p>
    <w:p>
      <w:pPr>
        <w:pStyle w:val="49"/>
        <w:tabs>
          <w:tab w:val="right" w:leader="dot" w:pos="8382"/>
        </w:tabs>
        <w:rPr>
          <w:rFonts w:ascii="Calibri" w:hAnsi="Calibri"/>
          <w:smallCaps w:val="0"/>
          <w:kern w:val="2"/>
          <w:sz w:val="21"/>
          <w:szCs w:val="22"/>
        </w:rPr>
      </w:pPr>
      <w:r>
        <w:fldChar w:fldCharType="begin"/>
      </w:r>
      <w:r>
        <w:instrText xml:space="preserve"> HYPERLINK \l "_Toc103591621" </w:instrText>
      </w:r>
      <w:r>
        <w:fldChar w:fldCharType="separate"/>
      </w:r>
      <w:r>
        <w:rPr>
          <w:rStyle w:val="69"/>
        </w:rPr>
        <w:t>3.2.12</w:t>
      </w:r>
      <w:r>
        <w:rPr>
          <w:rStyle w:val="69"/>
          <w:rFonts w:hint="eastAsia"/>
        </w:rPr>
        <w:t>安全事故报告和处理制度</w:t>
      </w:r>
      <w:r>
        <w:tab/>
      </w:r>
      <w:r>
        <w:fldChar w:fldCharType="begin"/>
      </w:r>
      <w:r>
        <w:instrText xml:space="preserve"> PAGEREF _Toc103591621 \h </w:instrText>
      </w:r>
      <w:r>
        <w:fldChar w:fldCharType="separate"/>
      </w:r>
      <w:r>
        <w:t>31</w:t>
      </w:r>
      <w:r>
        <w:fldChar w:fldCharType="end"/>
      </w:r>
      <w:r>
        <w:fldChar w:fldCharType="end"/>
      </w:r>
    </w:p>
    <w:p>
      <w:pPr>
        <w:pStyle w:val="41"/>
        <w:tabs>
          <w:tab w:val="right" w:leader="dot" w:pos="8382"/>
        </w:tabs>
        <w:rPr>
          <w:bCs w:val="0"/>
          <w:caps w:val="0"/>
          <w:kern w:val="2"/>
          <w:sz w:val="21"/>
          <w:szCs w:val="22"/>
        </w:rPr>
      </w:pPr>
      <w:r>
        <w:fldChar w:fldCharType="begin"/>
      </w:r>
      <w:r>
        <w:instrText xml:space="preserve"> HYPERLINK \l "_Toc103591622" </w:instrText>
      </w:r>
      <w:r>
        <w:fldChar w:fldCharType="separate"/>
      </w:r>
      <w:r>
        <w:rPr>
          <w:rStyle w:val="69"/>
          <w:rFonts w:hint="eastAsia"/>
        </w:rPr>
        <w:t>附件三</w:t>
      </w:r>
      <w:r>
        <w:rPr>
          <w:rStyle w:val="69"/>
        </w:rPr>
        <w:t xml:space="preserve">  </w:t>
      </w:r>
      <w:r>
        <w:rPr>
          <w:rStyle w:val="69"/>
          <w:rFonts w:hint="eastAsia"/>
        </w:rPr>
        <w:t>设备和技术资料的交付进度</w:t>
      </w:r>
      <w:r>
        <w:tab/>
      </w:r>
      <w:r>
        <w:fldChar w:fldCharType="begin"/>
      </w:r>
      <w:r>
        <w:instrText xml:space="preserve"> PAGEREF _Toc103591622 \h </w:instrText>
      </w:r>
      <w:r>
        <w:fldChar w:fldCharType="separate"/>
      </w:r>
      <w:r>
        <w:t>33</w:t>
      </w:r>
      <w:r>
        <w:fldChar w:fldCharType="end"/>
      </w:r>
      <w:r>
        <w:fldChar w:fldCharType="end"/>
      </w:r>
    </w:p>
    <w:p>
      <w:pPr>
        <w:pStyle w:val="41"/>
        <w:tabs>
          <w:tab w:val="right" w:leader="dot" w:pos="8382"/>
        </w:tabs>
        <w:rPr>
          <w:bCs w:val="0"/>
          <w:caps w:val="0"/>
          <w:kern w:val="2"/>
          <w:sz w:val="21"/>
          <w:szCs w:val="22"/>
        </w:rPr>
      </w:pPr>
      <w:r>
        <w:fldChar w:fldCharType="begin"/>
      </w:r>
      <w:r>
        <w:instrText xml:space="preserve"> HYPERLINK \l "_Toc103591623" </w:instrText>
      </w:r>
      <w:r>
        <w:fldChar w:fldCharType="separate"/>
      </w:r>
      <w:r>
        <w:rPr>
          <w:rStyle w:val="69"/>
          <w:rFonts w:hint="eastAsia"/>
        </w:rPr>
        <w:t>附件四</w:t>
      </w:r>
      <w:r>
        <w:rPr>
          <w:rStyle w:val="69"/>
        </w:rPr>
        <w:t xml:space="preserve">  </w:t>
      </w:r>
      <w:r>
        <w:rPr>
          <w:rStyle w:val="69"/>
          <w:rFonts w:hint="eastAsia"/>
        </w:rPr>
        <w:t>性能验收试验</w:t>
      </w:r>
      <w:r>
        <w:tab/>
      </w:r>
      <w:r>
        <w:fldChar w:fldCharType="begin"/>
      </w:r>
      <w:r>
        <w:instrText xml:space="preserve"> PAGEREF _Toc103591623 \h </w:instrText>
      </w:r>
      <w:r>
        <w:fldChar w:fldCharType="separate"/>
      </w:r>
      <w:r>
        <w:t>36</w:t>
      </w:r>
      <w:r>
        <w:fldChar w:fldCharType="end"/>
      </w:r>
      <w:r>
        <w:fldChar w:fldCharType="end"/>
      </w:r>
    </w:p>
    <w:p>
      <w:pPr>
        <w:pStyle w:val="41"/>
        <w:tabs>
          <w:tab w:val="right" w:leader="dot" w:pos="8382"/>
        </w:tabs>
        <w:rPr>
          <w:bCs w:val="0"/>
          <w:caps w:val="0"/>
          <w:kern w:val="2"/>
          <w:sz w:val="21"/>
          <w:szCs w:val="22"/>
        </w:rPr>
      </w:pPr>
      <w:r>
        <w:fldChar w:fldCharType="begin"/>
      </w:r>
      <w:r>
        <w:instrText xml:space="preserve"> HYPERLINK \l "_Toc103591624" </w:instrText>
      </w:r>
      <w:r>
        <w:fldChar w:fldCharType="separate"/>
      </w:r>
      <w:r>
        <w:rPr>
          <w:rStyle w:val="69"/>
          <w:rFonts w:hint="eastAsia"/>
        </w:rPr>
        <w:t>附件五</w:t>
      </w:r>
      <w:r>
        <w:rPr>
          <w:rStyle w:val="69"/>
        </w:rPr>
        <w:t xml:space="preserve">  </w:t>
      </w:r>
      <w:r>
        <w:rPr>
          <w:rStyle w:val="69"/>
          <w:rFonts w:hint="eastAsia"/>
        </w:rPr>
        <w:t>工期要求</w:t>
      </w:r>
      <w:r>
        <w:tab/>
      </w:r>
      <w:r>
        <w:fldChar w:fldCharType="begin"/>
      </w:r>
      <w:r>
        <w:instrText xml:space="preserve"> PAGEREF _Toc103591624 \h </w:instrText>
      </w:r>
      <w:r>
        <w:fldChar w:fldCharType="separate"/>
      </w:r>
      <w:r>
        <w:t>38</w:t>
      </w:r>
      <w:r>
        <w:fldChar w:fldCharType="end"/>
      </w:r>
      <w:r>
        <w:fldChar w:fldCharType="end"/>
      </w:r>
    </w:p>
    <w:p>
      <w:pPr>
        <w:pStyle w:val="41"/>
        <w:tabs>
          <w:tab w:val="right" w:leader="dot" w:pos="8382"/>
        </w:tabs>
        <w:rPr>
          <w:bCs w:val="0"/>
          <w:caps w:val="0"/>
          <w:kern w:val="2"/>
          <w:sz w:val="21"/>
          <w:szCs w:val="22"/>
        </w:rPr>
      </w:pPr>
      <w:r>
        <w:fldChar w:fldCharType="begin"/>
      </w:r>
      <w:r>
        <w:instrText xml:space="preserve"> HYPERLINK \l "_Toc103591625" </w:instrText>
      </w:r>
      <w:r>
        <w:fldChar w:fldCharType="separate"/>
      </w:r>
      <w:r>
        <w:rPr>
          <w:rStyle w:val="69"/>
          <w:rFonts w:hint="eastAsia"/>
        </w:rPr>
        <w:t>附件六</w:t>
      </w:r>
      <w:r>
        <w:rPr>
          <w:rStyle w:val="69"/>
        </w:rPr>
        <w:t xml:space="preserve">  </w:t>
      </w:r>
      <w:r>
        <w:rPr>
          <w:rStyle w:val="69"/>
          <w:rFonts w:hint="eastAsia"/>
        </w:rPr>
        <w:t>技术服务和联络</w:t>
      </w:r>
      <w:r>
        <w:tab/>
      </w:r>
      <w:r>
        <w:fldChar w:fldCharType="begin"/>
      </w:r>
      <w:r>
        <w:instrText xml:space="preserve"> PAGEREF _Toc103591625 \h </w:instrText>
      </w:r>
      <w:r>
        <w:fldChar w:fldCharType="separate"/>
      </w:r>
      <w:r>
        <w:t>39</w:t>
      </w:r>
      <w:r>
        <w:fldChar w:fldCharType="end"/>
      </w:r>
      <w:r>
        <w:fldChar w:fldCharType="end"/>
      </w:r>
    </w:p>
    <w:p>
      <w:pPr>
        <w:pStyle w:val="41"/>
        <w:tabs>
          <w:tab w:val="right" w:leader="dot" w:pos="8382"/>
        </w:tabs>
        <w:rPr>
          <w:bCs w:val="0"/>
          <w:caps w:val="0"/>
          <w:kern w:val="2"/>
          <w:sz w:val="21"/>
          <w:szCs w:val="22"/>
        </w:rPr>
      </w:pPr>
      <w:r>
        <w:fldChar w:fldCharType="begin"/>
      </w:r>
      <w:r>
        <w:instrText xml:space="preserve"> HYPERLINK \l "_Toc103591626" </w:instrText>
      </w:r>
      <w:r>
        <w:fldChar w:fldCharType="separate"/>
      </w:r>
      <w:r>
        <w:rPr>
          <w:rStyle w:val="69"/>
          <w:rFonts w:hint="eastAsia"/>
        </w:rPr>
        <w:t>附件七</w:t>
      </w:r>
      <w:r>
        <w:rPr>
          <w:rStyle w:val="69"/>
        </w:rPr>
        <w:t xml:space="preserve">  </w:t>
      </w:r>
      <w:r>
        <w:rPr>
          <w:rStyle w:val="69"/>
          <w:rFonts w:hint="eastAsia"/>
        </w:rPr>
        <w:t>技术偏离表</w:t>
      </w:r>
      <w:r>
        <w:tab/>
      </w:r>
      <w:r>
        <w:fldChar w:fldCharType="begin"/>
      </w:r>
      <w:r>
        <w:instrText xml:space="preserve"> PAGEREF _Toc103591626 \h </w:instrText>
      </w:r>
      <w:r>
        <w:fldChar w:fldCharType="separate"/>
      </w:r>
      <w:r>
        <w:t>42</w:t>
      </w:r>
      <w:r>
        <w:fldChar w:fldCharType="end"/>
      </w:r>
      <w:r>
        <w:fldChar w:fldCharType="end"/>
      </w:r>
    </w:p>
    <w:p>
      <w:pPr>
        <w:pStyle w:val="41"/>
        <w:tabs>
          <w:tab w:val="right" w:leader="dot" w:pos="8382"/>
        </w:tabs>
        <w:rPr>
          <w:bCs w:val="0"/>
          <w:caps w:val="0"/>
          <w:kern w:val="2"/>
          <w:sz w:val="21"/>
          <w:szCs w:val="22"/>
        </w:rPr>
      </w:pPr>
      <w:r>
        <w:fldChar w:fldCharType="begin"/>
      </w:r>
      <w:r>
        <w:instrText xml:space="preserve"> HYPERLINK \l "_Toc103591627" </w:instrText>
      </w:r>
      <w:r>
        <w:fldChar w:fldCharType="separate"/>
      </w:r>
      <w:r>
        <w:rPr>
          <w:rStyle w:val="69"/>
          <w:rFonts w:hint="eastAsia"/>
        </w:rPr>
        <w:t>附件八</w:t>
      </w:r>
      <w:r>
        <w:rPr>
          <w:rStyle w:val="69"/>
        </w:rPr>
        <w:t xml:space="preserve">  </w:t>
      </w:r>
      <w:r>
        <w:rPr>
          <w:rStyle w:val="69"/>
          <w:rFonts w:hint="eastAsia"/>
        </w:rPr>
        <w:t>参选资格及评选办法</w:t>
      </w:r>
      <w:r>
        <w:tab/>
      </w:r>
      <w:r>
        <w:fldChar w:fldCharType="begin"/>
      </w:r>
      <w:r>
        <w:instrText xml:space="preserve"> PAGEREF _Toc103591627 \h </w:instrText>
      </w:r>
      <w:r>
        <w:fldChar w:fldCharType="separate"/>
      </w:r>
      <w:r>
        <w:t>43</w:t>
      </w:r>
      <w:r>
        <w:fldChar w:fldCharType="end"/>
      </w:r>
      <w:r>
        <w:fldChar w:fldCharType="end"/>
      </w:r>
    </w:p>
    <w:p>
      <w:pPr>
        <w:pStyle w:val="41"/>
        <w:tabs>
          <w:tab w:val="right" w:leader="dot" w:pos="8382"/>
        </w:tabs>
        <w:rPr>
          <w:rStyle w:val="69"/>
        </w:rPr>
      </w:pPr>
      <w:r>
        <w:fldChar w:fldCharType="begin"/>
      </w:r>
      <w:r>
        <w:instrText xml:space="preserve"> HYPERLINK \l "_Toc103591628" </w:instrText>
      </w:r>
      <w:r>
        <w:fldChar w:fldCharType="separate"/>
      </w:r>
      <w:r>
        <w:rPr>
          <w:rStyle w:val="69"/>
          <w:rFonts w:hint="eastAsia"/>
        </w:rPr>
        <w:t>附件九</w:t>
      </w:r>
      <w:r>
        <w:rPr>
          <w:rStyle w:val="69"/>
        </w:rPr>
        <w:t xml:space="preserve">  </w:t>
      </w:r>
      <w:r>
        <w:rPr>
          <w:rStyle w:val="69"/>
          <w:rFonts w:hint="eastAsia"/>
        </w:rPr>
        <w:t>锅炉火焰监测冷却风道布置图</w:t>
      </w:r>
      <w:r>
        <w:tab/>
      </w:r>
      <w:r>
        <w:fldChar w:fldCharType="end"/>
      </w:r>
      <w:r>
        <w:t>43</w:t>
      </w:r>
    </w:p>
    <w:p>
      <w:pPr>
        <w:rPr>
          <w:lang w:eastAsia="zh-CN"/>
        </w:rPr>
      </w:pPr>
    </w:p>
    <w:p>
      <w:pPr>
        <w:widowControl/>
        <w:autoSpaceDE/>
        <w:autoSpaceDN/>
        <w:rPr>
          <w:b/>
          <w:bCs/>
          <w:sz w:val="28"/>
          <w:szCs w:val="28"/>
          <w:lang w:eastAsia="zh-CN"/>
        </w:rPr>
      </w:pPr>
      <w:bookmarkStart w:id="1" w:name="_Toc103591608"/>
      <w:bookmarkStart w:id="2" w:name="_Hlt492704700"/>
      <w:bookmarkStart w:id="3" w:name="_Toc501817569"/>
      <w:bookmarkStart w:id="4" w:name="_Toc492803620"/>
      <w:r>
        <w:rPr>
          <w:lang w:eastAsia="zh-CN"/>
        </w:rPr>
        <w:br w:type="page"/>
      </w:r>
    </w:p>
    <w:p>
      <w:pPr>
        <w:pStyle w:val="3"/>
        <w:rPr>
          <w:lang w:eastAsia="zh-CN"/>
        </w:rPr>
      </w:pPr>
      <w:r>
        <w:rPr>
          <w:rFonts w:hint="eastAsia"/>
          <w:lang w:eastAsia="zh-CN"/>
        </w:rPr>
        <w:t>附件一  技术规范</w:t>
      </w:r>
      <w:bookmarkEnd w:id="1"/>
    </w:p>
    <w:p>
      <w:pPr>
        <w:snapToGrid w:val="0"/>
        <w:spacing w:line="360" w:lineRule="auto"/>
        <w:rPr>
          <w:lang w:eastAsia="zh-CN"/>
        </w:rPr>
      </w:pPr>
      <w:r>
        <w:rPr>
          <w:rFonts w:hint="eastAsia"/>
          <w:lang w:eastAsia="zh-CN"/>
        </w:rPr>
        <w:t>1 总则</w:t>
      </w:r>
    </w:p>
    <w:p>
      <w:pPr>
        <w:pStyle w:val="32"/>
        <w:tabs>
          <w:tab w:val="left" w:pos="540"/>
        </w:tabs>
        <w:adjustRightInd w:val="0"/>
        <w:snapToGrid w:val="0"/>
        <w:spacing w:line="360" w:lineRule="auto"/>
        <w:rPr>
          <w:rFonts w:hAnsi="宋体" w:cs="Arial"/>
          <w:sz w:val="24"/>
          <w:lang w:val="sq-AL" w:eastAsia="zh-CN"/>
        </w:rPr>
      </w:pPr>
      <w:bookmarkStart w:id="5" w:name="_Toc42495389"/>
      <w:r>
        <w:rPr>
          <w:rFonts w:hint="eastAsia" w:hAnsi="宋体" w:cs="Arial"/>
          <w:sz w:val="24"/>
          <w:lang w:val="sq-AL" w:eastAsia="zh-CN"/>
        </w:rPr>
        <w:t>1.1本技术规范适用于</w:t>
      </w:r>
      <w:r>
        <w:rPr>
          <w:rFonts w:hint="eastAsia" w:hAnsi="宋体" w:cs="Arial"/>
          <w:sz w:val="24"/>
          <w:lang w:eastAsia="zh-CN"/>
        </w:rPr>
        <w:t>电站工程</w:t>
      </w:r>
      <w:r>
        <w:rPr>
          <w:rFonts w:hint="eastAsia" w:hAnsi="宋体"/>
          <w:bCs/>
          <w:sz w:val="24"/>
          <w:lang w:eastAsia="zh-CN"/>
        </w:rPr>
        <w:t>的锅炉火检风源管改造，</w:t>
      </w:r>
      <w:r>
        <w:rPr>
          <w:rFonts w:hint="eastAsia" w:hAnsi="宋体" w:cs="Arial"/>
          <w:sz w:val="24"/>
          <w:lang w:val="sq-AL" w:eastAsia="zh-CN"/>
        </w:rPr>
        <w:t>它提出了火检风源管及其辅助设备和附件的功能设计、结构、制造、施工、性能、实验等方面的技术要求。</w:t>
      </w:r>
    </w:p>
    <w:p>
      <w:pPr>
        <w:snapToGrid w:val="0"/>
        <w:spacing w:line="360" w:lineRule="auto"/>
        <w:rPr>
          <w:rFonts w:cs="Arial"/>
          <w:szCs w:val="24"/>
          <w:lang w:val="sq-AL" w:eastAsia="zh-CN"/>
        </w:rPr>
      </w:pPr>
      <w:r>
        <w:rPr>
          <w:rFonts w:hint="eastAsia" w:cs="Arial"/>
          <w:szCs w:val="24"/>
          <w:lang w:val="sq-AL" w:eastAsia="zh-CN"/>
        </w:rPr>
        <w:t>1.2</w:t>
      </w:r>
      <w:r>
        <w:rPr>
          <w:rFonts w:hint="eastAsia"/>
          <w:szCs w:val="24"/>
          <w:lang w:eastAsia="zh-CN"/>
        </w:rPr>
        <w:t>本规范书中提出了最低限度的技术要求，并未规定所有的技术要求和适用的标准，投标方应提供一套满足本规范和所列标准要求的高质量产品及其相应服务。对政府有关安全、环保等强制性标准,必须满足其要求。</w:t>
      </w:r>
    </w:p>
    <w:p>
      <w:pPr>
        <w:tabs>
          <w:tab w:val="left" w:pos="480"/>
          <w:tab w:val="left" w:pos="8280"/>
        </w:tabs>
        <w:snapToGrid w:val="0"/>
        <w:spacing w:line="360" w:lineRule="auto"/>
        <w:rPr>
          <w:bCs/>
          <w:szCs w:val="24"/>
          <w:lang w:eastAsia="zh-CN"/>
        </w:rPr>
      </w:pPr>
      <w:r>
        <w:rPr>
          <w:rFonts w:hint="eastAsia"/>
          <w:bCs/>
          <w:szCs w:val="24"/>
          <w:lang w:eastAsia="zh-CN"/>
        </w:rPr>
        <w:t>1.3如果投标方没有以书面形式对技术规范的条文提出异议，那么招标方可以认为投标方提出的产品完全符合本规范的要求。</w:t>
      </w:r>
    </w:p>
    <w:p>
      <w:pPr>
        <w:snapToGrid w:val="0"/>
        <w:spacing w:line="360" w:lineRule="auto"/>
        <w:rPr>
          <w:rFonts w:cs="Arial"/>
          <w:szCs w:val="24"/>
          <w:lang w:val="sq-AL" w:eastAsia="zh-CN"/>
        </w:rPr>
      </w:pPr>
      <w:r>
        <w:rPr>
          <w:rFonts w:hint="eastAsia" w:cs="Arial"/>
          <w:szCs w:val="24"/>
          <w:lang w:val="sq-AL" w:eastAsia="zh-CN"/>
        </w:rPr>
        <w:t>1.4投标方对供货范围内的</w:t>
      </w:r>
      <w:r>
        <w:rPr>
          <w:rFonts w:hint="eastAsia" w:cs="Arial"/>
          <w:lang w:val="sq-AL" w:eastAsia="zh-CN"/>
        </w:rPr>
        <w:t>风源管</w:t>
      </w:r>
      <w:r>
        <w:rPr>
          <w:rFonts w:hint="eastAsia" w:cs="Arial"/>
          <w:szCs w:val="24"/>
          <w:lang w:val="sq-AL" w:eastAsia="zh-CN"/>
        </w:rPr>
        <w:t>(含附件)负有全责，即包括分包(或对外采购)的产品。分包(或对外采购)的产品制造商应事先征得招标方的认可。</w:t>
      </w:r>
    </w:p>
    <w:p>
      <w:pPr>
        <w:snapToGrid w:val="0"/>
        <w:spacing w:line="360" w:lineRule="auto"/>
        <w:rPr>
          <w:rFonts w:cs="Arial"/>
          <w:szCs w:val="24"/>
          <w:lang w:val="sq-AL" w:eastAsia="zh-CN"/>
        </w:rPr>
      </w:pPr>
      <w:r>
        <w:rPr>
          <w:rFonts w:hint="eastAsia" w:cs="Arial"/>
          <w:szCs w:val="24"/>
          <w:lang w:val="sq-AL" w:eastAsia="zh-CN"/>
        </w:rPr>
        <w:t>1.5投标方须执行本技术规范所列标准。各标准有矛盾时，按较高标准执行。</w:t>
      </w:r>
    </w:p>
    <w:p>
      <w:pPr>
        <w:snapToGrid w:val="0"/>
        <w:spacing w:line="360" w:lineRule="auto"/>
        <w:rPr>
          <w:rFonts w:cs="Arial"/>
          <w:szCs w:val="24"/>
          <w:lang w:val="sq-AL" w:eastAsia="zh-CN"/>
        </w:rPr>
      </w:pPr>
      <w:r>
        <w:rPr>
          <w:rFonts w:hint="eastAsia" w:cs="Arial"/>
          <w:szCs w:val="24"/>
          <w:lang w:val="sq-AL" w:eastAsia="zh-CN"/>
        </w:rPr>
        <w:t>1.6合同签订后两周内，按本规范要求，投标方完成设计</w:t>
      </w:r>
      <w:r>
        <w:rPr>
          <w:rFonts w:cs="Arial"/>
          <w:szCs w:val="24"/>
          <w:lang w:val="sq-AL" w:eastAsia="zh-CN"/>
        </w:rPr>
        <w:t>火检风源管改造图纸</w:t>
      </w:r>
      <w:r>
        <w:rPr>
          <w:rFonts w:hint="eastAsia" w:cs="Arial"/>
          <w:szCs w:val="24"/>
          <w:lang w:val="sq-AL" w:eastAsia="zh-CN"/>
        </w:rPr>
        <w:t xml:space="preserve">。 </w:t>
      </w:r>
    </w:p>
    <w:p>
      <w:pPr>
        <w:snapToGrid w:val="0"/>
        <w:spacing w:line="360" w:lineRule="auto"/>
        <w:rPr>
          <w:rFonts w:cs="Arial"/>
          <w:szCs w:val="24"/>
          <w:lang w:val="sq-AL" w:eastAsia="zh-CN"/>
        </w:rPr>
      </w:pPr>
      <w:r>
        <w:rPr>
          <w:rStyle w:val="250"/>
          <w:rFonts w:hint="eastAsia"/>
          <w:szCs w:val="24"/>
          <w:lang w:eastAsia="zh-CN"/>
        </w:rPr>
        <w:t>1.7</w:t>
      </w:r>
      <w:r>
        <w:rPr>
          <w:rFonts w:hint="eastAsia" w:cs="Arial"/>
          <w:szCs w:val="24"/>
          <w:lang w:val="sq-AL" w:eastAsia="zh-CN"/>
        </w:rPr>
        <w:t>在合同签定后，招标方有权因规范、标准、规程发生变化而提出一些补充要求，在设备投料生产前，投标方应在设计上给以修改，并不引起招标方任何费用的增加。</w:t>
      </w:r>
    </w:p>
    <w:p>
      <w:pPr>
        <w:snapToGrid w:val="0"/>
        <w:spacing w:line="360" w:lineRule="auto"/>
        <w:rPr>
          <w:szCs w:val="24"/>
          <w:lang w:eastAsia="zh-CN"/>
        </w:rPr>
      </w:pPr>
      <w:r>
        <w:rPr>
          <w:rFonts w:hint="eastAsia" w:cs="Arial"/>
          <w:szCs w:val="24"/>
          <w:lang w:val="sq-AL" w:eastAsia="zh-CN"/>
        </w:rPr>
        <w:t>1.8</w:t>
      </w:r>
      <w:r>
        <w:rPr>
          <w:rFonts w:hint="eastAsia" w:cs="Arial"/>
          <w:szCs w:val="24"/>
          <w:lang w:eastAsia="zh-CN"/>
        </w:rPr>
        <w:t>专利涉及到的全部费用均已被认为包含在设备报价中，投标方保证招标方不承担有关设备专利的一切责任。</w:t>
      </w:r>
    </w:p>
    <w:p>
      <w:pPr>
        <w:snapToGrid w:val="0"/>
        <w:spacing w:line="360" w:lineRule="auto"/>
        <w:rPr>
          <w:rFonts w:cs="Arial Unicode MS"/>
          <w:szCs w:val="24"/>
          <w:lang w:eastAsia="zh-CN"/>
        </w:rPr>
      </w:pPr>
      <w:r>
        <w:rPr>
          <w:rFonts w:hint="eastAsia" w:cs="Arial"/>
          <w:szCs w:val="24"/>
          <w:lang w:eastAsia="zh-CN"/>
        </w:rPr>
        <w:t>1.</w:t>
      </w:r>
      <w:r>
        <w:rPr>
          <w:rFonts w:cs="Arial"/>
          <w:szCs w:val="24"/>
          <w:lang w:eastAsia="zh-CN"/>
        </w:rPr>
        <w:t>9</w:t>
      </w:r>
      <w:r>
        <w:rPr>
          <w:rFonts w:hint="eastAsia"/>
          <w:szCs w:val="21"/>
          <w:lang w:eastAsia="zh-CN"/>
        </w:rPr>
        <w:t>该工程采取EPC承包形式。</w:t>
      </w:r>
      <w:r>
        <w:rPr>
          <w:rFonts w:hint="eastAsia"/>
          <w:szCs w:val="24"/>
          <w:lang w:eastAsia="zh-CN"/>
        </w:rPr>
        <w:t>锅炉火检风源管改造完成后，在正常</w:t>
      </w:r>
      <w:r>
        <w:rPr>
          <w:szCs w:val="24"/>
          <w:lang w:eastAsia="zh-CN"/>
        </w:rPr>
        <w:t>运行过程中，</w:t>
      </w:r>
      <w:r>
        <w:rPr>
          <w:rFonts w:hint="eastAsia"/>
          <w:szCs w:val="24"/>
          <w:lang w:eastAsia="zh-CN"/>
        </w:rPr>
        <w:t>实现用冷</w:t>
      </w:r>
      <w:r>
        <w:rPr>
          <w:szCs w:val="24"/>
          <w:lang w:eastAsia="zh-CN"/>
        </w:rPr>
        <w:t>一次风</w:t>
      </w:r>
      <w:r>
        <w:rPr>
          <w:rFonts w:hint="eastAsia"/>
          <w:szCs w:val="24"/>
          <w:lang w:eastAsia="zh-CN"/>
        </w:rPr>
        <w:t>取代</w:t>
      </w:r>
      <w:r>
        <w:rPr>
          <w:szCs w:val="24"/>
          <w:lang w:eastAsia="zh-CN"/>
        </w:rPr>
        <w:t>火检风机供</w:t>
      </w:r>
      <w:r>
        <w:rPr>
          <w:rFonts w:hint="eastAsia"/>
          <w:szCs w:val="24"/>
          <w:lang w:eastAsia="zh-CN"/>
        </w:rPr>
        <w:t>火检</w:t>
      </w:r>
      <w:r>
        <w:rPr>
          <w:szCs w:val="24"/>
          <w:lang w:eastAsia="zh-CN"/>
        </w:rPr>
        <w:t>冷却风。</w:t>
      </w:r>
    </w:p>
    <w:p>
      <w:pPr>
        <w:snapToGrid w:val="0"/>
        <w:spacing w:line="360" w:lineRule="auto"/>
        <w:rPr>
          <w:lang w:eastAsia="zh-CN"/>
        </w:rPr>
      </w:pPr>
      <w:r>
        <w:rPr>
          <w:rFonts w:hint="eastAsia"/>
          <w:lang w:eastAsia="zh-CN"/>
        </w:rPr>
        <w:t>2 工程概况</w:t>
      </w:r>
      <w:bookmarkEnd w:id="5"/>
    </w:p>
    <w:p>
      <w:pPr>
        <w:snapToGrid w:val="0"/>
        <w:spacing w:line="360" w:lineRule="auto"/>
        <w:ind w:firstLine="440" w:firstLineChars="200"/>
        <w:rPr>
          <w:szCs w:val="21"/>
          <w:lang w:eastAsia="zh-CN"/>
        </w:rPr>
      </w:pPr>
      <w:bookmarkStart w:id="6" w:name="_Toc42495390"/>
      <w:r>
        <w:rPr>
          <w:szCs w:val="21"/>
          <w:lang w:eastAsia="zh-CN"/>
        </w:rPr>
        <w:t>腾龙芳烃（漳州）有限公司热电厂是腾龙芳烃（漳州）有限公司配套工程，热电厂以供热为主，并根据以热定电，灵活调整的原则营运。</w:t>
      </w:r>
      <w:r>
        <w:rPr>
          <w:rFonts w:hint="eastAsia"/>
          <w:szCs w:val="21"/>
          <w:lang w:eastAsia="zh-CN"/>
        </w:rPr>
        <w:t>建设</w:t>
      </w:r>
      <w:r>
        <w:rPr>
          <w:szCs w:val="21"/>
          <w:lang w:eastAsia="zh-CN"/>
        </w:rPr>
        <w:t>容量4×670t/h+3×150MW燃煤供热机组，</w:t>
      </w:r>
      <w:r>
        <w:rPr>
          <w:rFonts w:hint="eastAsia"/>
          <w:szCs w:val="21"/>
          <w:lang w:eastAsia="zh-CN"/>
        </w:rPr>
        <w:t>热电厂采用母管制布置。每台锅炉分别配置</w:t>
      </w:r>
      <w:r>
        <w:rPr>
          <w:szCs w:val="21"/>
          <w:lang w:eastAsia="zh-CN"/>
        </w:rPr>
        <w:t>2台</w:t>
      </w:r>
      <w:r>
        <w:rPr>
          <w:rFonts w:hint="eastAsia"/>
          <w:szCs w:val="21"/>
          <w:lang w:eastAsia="zh-CN"/>
        </w:rPr>
        <w:t>火检冷却</w:t>
      </w:r>
      <w:r>
        <w:rPr>
          <w:szCs w:val="21"/>
          <w:lang w:eastAsia="zh-CN"/>
        </w:rPr>
        <w:t>风机</w:t>
      </w:r>
      <w:r>
        <w:rPr>
          <w:rFonts w:hint="eastAsia"/>
          <w:szCs w:val="21"/>
          <w:lang w:eastAsia="zh-CN"/>
        </w:rPr>
        <w:t>及2</w:t>
      </w:r>
      <w:r>
        <w:rPr>
          <w:szCs w:val="21"/>
          <w:lang w:eastAsia="zh-CN"/>
        </w:rPr>
        <w:t>台一次风机，</w:t>
      </w:r>
      <w:r>
        <w:rPr>
          <w:rFonts w:hint="eastAsia"/>
          <w:szCs w:val="21"/>
          <w:lang w:eastAsia="zh-CN"/>
        </w:rPr>
        <w:t>火检风机型号</w:t>
      </w:r>
      <w:r>
        <w:rPr>
          <w:szCs w:val="21"/>
          <w:lang w:eastAsia="zh-CN"/>
        </w:rPr>
        <w:t>为</w:t>
      </w:r>
      <w:r>
        <w:rPr>
          <w:rFonts w:hint="eastAsia"/>
          <w:color w:val="000000"/>
          <w:lang w:eastAsia="zh-CN"/>
        </w:rPr>
        <w:t>VC710N/2（ABB），</w:t>
      </w:r>
      <w:r>
        <w:rPr>
          <w:rFonts w:hint="eastAsia"/>
          <w:szCs w:val="21"/>
          <w:lang w:eastAsia="zh-CN"/>
        </w:rPr>
        <w:t>一备一用，</w:t>
      </w:r>
      <w:r>
        <w:rPr>
          <w:szCs w:val="21"/>
          <w:lang w:eastAsia="zh-CN"/>
        </w:rPr>
        <w:t>出口风压不小于</w:t>
      </w:r>
      <w:r>
        <w:rPr>
          <w:rFonts w:hint="eastAsia"/>
          <w:szCs w:val="21"/>
          <w:lang w:eastAsia="zh-CN"/>
        </w:rPr>
        <w:t>8KPa</w:t>
      </w:r>
      <w:r>
        <w:rPr>
          <w:szCs w:val="21"/>
          <w:lang w:eastAsia="zh-CN"/>
        </w:rPr>
        <w:t>，一次风机</w:t>
      </w:r>
      <w:r>
        <w:rPr>
          <w:rFonts w:hint="eastAsia"/>
          <w:szCs w:val="21"/>
          <w:lang w:eastAsia="zh-CN"/>
        </w:rPr>
        <w:t>型号为</w:t>
      </w:r>
      <w:r>
        <w:rPr>
          <w:rFonts w:ascii="Times New Roman" w:hAnsi="Times New Roman"/>
          <w:szCs w:val="24"/>
          <w:lang w:eastAsia="zh-CN"/>
        </w:rPr>
        <w:t>AGX260-6CNO19.4F</w:t>
      </w:r>
      <w:r>
        <w:rPr>
          <w:rFonts w:hint="eastAsia" w:ascii="Times New Roman" w:hAnsi="Times New Roman"/>
          <w:szCs w:val="24"/>
          <w:lang w:eastAsia="zh-CN"/>
        </w:rPr>
        <w:t>，</w:t>
      </w:r>
      <w:r>
        <w:rPr>
          <w:rFonts w:ascii="Times New Roman" w:hAnsi="Times New Roman"/>
          <w:szCs w:val="24"/>
          <w:lang w:eastAsia="zh-CN"/>
        </w:rPr>
        <w:t>正常</w:t>
      </w:r>
      <w:r>
        <w:rPr>
          <w:rFonts w:hint="eastAsia" w:ascii="Times New Roman" w:hAnsi="Times New Roman"/>
          <w:szCs w:val="24"/>
          <w:lang w:eastAsia="zh-CN"/>
        </w:rPr>
        <w:t>工况</w:t>
      </w:r>
      <w:r>
        <w:rPr>
          <w:rFonts w:ascii="Times New Roman" w:hAnsi="Times New Roman"/>
          <w:szCs w:val="24"/>
          <w:lang w:eastAsia="zh-CN"/>
        </w:rPr>
        <w:t>运行时</w:t>
      </w:r>
      <w:r>
        <w:rPr>
          <w:rFonts w:hint="eastAsia" w:ascii="Times New Roman" w:hAnsi="Times New Roman"/>
          <w:szCs w:val="24"/>
          <w:lang w:eastAsia="zh-CN"/>
        </w:rPr>
        <w:t>两台</w:t>
      </w:r>
      <w:r>
        <w:rPr>
          <w:rFonts w:ascii="Times New Roman" w:hAnsi="Times New Roman"/>
          <w:szCs w:val="24"/>
          <w:lang w:eastAsia="zh-CN"/>
        </w:rPr>
        <w:t>同时运行，但设计有足够的裕量。</w:t>
      </w:r>
    </w:p>
    <w:p>
      <w:pPr>
        <w:spacing w:line="360" w:lineRule="auto"/>
        <w:jc w:val="both"/>
        <w:rPr>
          <w:szCs w:val="21"/>
          <w:lang w:eastAsia="zh-CN"/>
        </w:rPr>
      </w:pPr>
      <w:r>
        <w:rPr>
          <w:rFonts w:hint="eastAsia"/>
          <w:szCs w:val="21"/>
          <w:lang w:eastAsia="zh-CN"/>
        </w:rPr>
        <w:t>2.1火检冷却风机及</w:t>
      </w:r>
      <w:r>
        <w:rPr>
          <w:szCs w:val="21"/>
          <w:lang w:eastAsia="zh-CN"/>
        </w:rPr>
        <w:t>一次风机主要参数</w:t>
      </w:r>
    </w:p>
    <w:p>
      <w:pPr>
        <w:tabs>
          <w:tab w:val="left" w:pos="480"/>
        </w:tabs>
        <w:snapToGrid w:val="0"/>
        <w:spacing w:line="360" w:lineRule="auto"/>
        <w:ind w:firstLine="440" w:firstLineChars="200"/>
        <w:rPr>
          <w:bCs/>
          <w:szCs w:val="21"/>
          <w:u w:val="single"/>
          <w:lang w:eastAsia="zh-CN"/>
        </w:rPr>
      </w:pPr>
      <w:r>
        <w:rPr>
          <w:rFonts w:hint="eastAsia"/>
          <w:szCs w:val="21"/>
          <w:lang w:eastAsia="zh-CN"/>
        </w:rPr>
        <w:t>现有火检冷却风机</w:t>
      </w:r>
      <w:r>
        <w:rPr>
          <w:snapToGrid w:val="0"/>
          <w:szCs w:val="21"/>
          <w:lang w:eastAsia="zh-CN"/>
        </w:rPr>
        <w:t>为</w:t>
      </w:r>
      <w:r>
        <w:rPr>
          <w:rFonts w:hint="eastAsia"/>
          <w:snapToGrid w:val="0"/>
          <w:szCs w:val="21"/>
          <w:lang w:eastAsia="zh-CN"/>
        </w:rPr>
        <w:t>直连</w:t>
      </w:r>
      <w:r>
        <w:rPr>
          <w:snapToGrid w:val="0"/>
          <w:szCs w:val="21"/>
          <w:lang w:eastAsia="zh-CN"/>
        </w:rPr>
        <w:t>离心风机</w:t>
      </w:r>
      <w:r>
        <w:rPr>
          <w:rFonts w:hint="eastAsia"/>
          <w:snapToGrid w:val="0"/>
          <w:szCs w:val="21"/>
          <w:lang w:eastAsia="zh-CN"/>
        </w:rPr>
        <w:t>，</w:t>
      </w:r>
      <w:r>
        <w:rPr>
          <w:rFonts w:hint="eastAsia"/>
          <w:szCs w:val="21"/>
          <w:lang w:eastAsia="zh-CN"/>
        </w:rPr>
        <w:t>型号：</w:t>
      </w:r>
      <w:r>
        <w:rPr>
          <w:rFonts w:hint="eastAsia"/>
          <w:color w:val="000000"/>
          <w:u w:val="single"/>
          <w:lang w:eastAsia="zh-CN"/>
        </w:rPr>
        <w:t>VC710N/2（ABB）</w:t>
      </w:r>
    </w:p>
    <w:tbl>
      <w:tblPr>
        <w:tblStyle w:val="60"/>
        <w:tblW w:w="0" w:type="auto"/>
        <w:jc w:val="right"/>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57" w:type="dxa"/>
          <w:left w:w="85" w:type="dxa"/>
          <w:bottom w:w="57" w:type="dxa"/>
          <w:right w:w="85" w:type="dxa"/>
        </w:tblCellMar>
      </w:tblPr>
      <w:tblGrid>
        <w:gridCol w:w="2072"/>
        <w:gridCol w:w="3683"/>
        <w:gridCol w:w="1830"/>
        <w:gridCol w:w="145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85" w:type="dxa"/>
            <w:bottom w:w="57" w:type="dxa"/>
            <w:right w:w="85" w:type="dxa"/>
          </w:tblCellMar>
        </w:tblPrEx>
        <w:trPr>
          <w:jc w:val="right"/>
        </w:trPr>
        <w:tc>
          <w:tcPr>
            <w:tcW w:w="2072" w:type="dxa"/>
            <w:vAlign w:val="center"/>
          </w:tcPr>
          <w:p>
            <w:pPr>
              <w:tabs>
                <w:tab w:val="left" w:pos="480"/>
              </w:tabs>
              <w:snapToGrid w:val="0"/>
              <w:spacing w:line="360" w:lineRule="auto"/>
              <w:rPr>
                <w:szCs w:val="21"/>
              </w:rPr>
            </w:pPr>
            <w:r>
              <w:rPr>
                <w:rFonts w:hint="eastAsia"/>
                <w:szCs w:val="21"/>
              </w:rPr>
              <w:t>风机</w:t>
            </w:r>
            <w:r>
              <w:rPr>
                <w:szCs w:val="21"/>
              </w:rPr>
              <w:t>型号</w:t>
            </w:r>
          </w:p>
        </w:tc>
        <w:tc>
          <w:tcPr>
            <w:tcW w:w="3683" w:type="dxa"/>
            <w:vAlign w:val="center"/>
          </w:tcPr>
          <w:p>
            <w:pPr>
              <w:tabs>
                <w:tab w:val="left" w:pos="480"/>
              </w:tabs>
              <w:snapToGrid w:val="0"/>
              <w:spacing w:line="360" w:lineRule="auto"/>
              <w:rPr>
                <w:szCs w:val="21"/>
              </w:rPr>
            </w:pPr>
            <w:r>
              <w:rPr>
                <w:rFonts w:hint="eastAsia"/>
                <w:color w:val="000000"/>
              </w:rPr>
              <w:t>VC710N/2（ABB）</w:t>
            </w:r>
          </w:p>
        </w:tc>
        <w:tc>
          <w:tcPr>
            <w:tcW w:w="1830" w:type="dxa"/>
            <w:vAlign w:val="center"/>
          </w:tcPr>
          <w:p>
            <w:pPr>
              <w:tabs>
                <w:tab w:val="left" w:pos="480"/>
              </w:tabs>
              <w:snapToGrid w:val="0"/>
              <w:spacing w:line="360" w:lineRule="auto"/>
              <w:jc w:val="center"/>
              <w:rPr>
                <w:szCs w:val="21"/>
              </w:rPr>
            </w:pPr>
          </w:p>
        </w:tc>
        <w:tc>
          <w:tcPr>
            <w:tcW w:w="1458" w:type="dxa"/>
            <w:vAlign w:val="center"/>
          </w:tcPr>
          <w:p>
            <w:pPr>
              <w:tabs>
                <w:tab w:val="left" w:pos="480"/>
              </w:tabs>
              <w:snapToGrid w:val="0"/>
              <w:spacing w:line="360" w:lineRule="auto"/>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85" w:type="dxa"/>
            <w:bottom w:w="57" w:type="dxa"/>
            <w:right w:w="85" w:type="dxa"/>
          </w:tblCellMar>
        </w:tblPrEx>
        <w:trPr>
          <w:jc w:val="right"/>
        </w:trPr>
        <w:tc>
          <w:tcPr>
            <w:tcW w:w="2072" w:type="dxa"/>
            <w:vAlign w:val="center"/>
          </w:tcPr>
          <w:p>
            <w:pPr>
              <w:spacing w:line="360" w:lineRule="auto"/>
              <w:rPr>
                <w:szCs w:val="21"/>
              </w:rPr>
            </w:pPr>
            <w:r>
              <w:rPr>
                <w:rFonts w:hint="eastAsia"/>
                <w:szCs w:val="21"/>
              </w:rPr>
              <w:t>设计流量</w:t>
            </w:r>
          </w:p>
        </w:tc>
        <w:tc>
          <w:tcPr>
            <w:tcW w:w="3683" w:type="dxa"/>
            <w:vAlign w:val="center"/>
          </w:tcPr>
          <w:p>
            <w:pPr>
              <w:tabs>
                <w:tab w:val="left" w:pos="480"/>
              </w:tabs>
              <w:snapToGrid w:val="0"/>
              <w:spacing w:line="360" w:lineRule="auto"/>
              <w:rPr>
                <w:szCs w:val="21"/>
              </w:rPr>
            </w:pPr>
          </w:p>
        </w:tc>
        <w:tc>
          <w:tcPr>
            <w:tcW w:w="1830" w:type="dxa"/>
            <w:vAlign w:val="center"/>
          </w:tcPr>
          <w:p>
            <w:pPr>
              <w:tabs>
                <w:tab w:val="left" w:pos="480"/>
              </w:tabs>
              <w:snapToGrid w:val="0"/>
              <w:spacing w:line="360" w:lineRule="auto"/>
              <w:jc w:val="center"/>
              <w:rPr>
                <w:szCs w:val="21"/>
              </w:rPr>
            </w:pPr>
            <w:r>
              <w:rPr>
                <w:rFonts w:hint="eastAsia"/>
                <w:color w:val="000000"/>
              </w:rPr>
              <w:t>≥2400</w:t>
            </w:r>
          </w:p>
        </w:tc>
        <w:tc>
          <w:tcPr>
            <w:tcW w:w="1458" w:type="dxa"/>
            <w:vAlign w:val="center"/>
          </w:tcPr>
          <w:p>
            <w:pPr>
              <w:tabs>
                <w:tab w:val="left" w:pos="480"/>
              </w:tabs>
              <w:snapToGrid w:val="0"/>
              <w:spacing w:line="360" w:lineRule="auto"/>
              <w:rPr>
                <w:szCs w:val="21"/>
              </w:rPr>
            </w:pPr>
            <w:r>
              <w:rPr>
                <w:rFonts w:hint="eastAsia"/>
                <w:color w:val="000000"/>
              </w:rPr>
              <w:t>m³/h</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85" w:type="dxa"/>
            <w:bottom w:w="57" w:type="dxa"/>
            <w:right w:w="85" w:type="dxa"/>
          </w:tblCellMar>
        </w:tblPrEx>
        <w:trPr>
          <w:jc w:val="right"/>
        </w:trPr>
        <w:tc>
          <w:tcPr>
            <w:tcW w:w="2072" w:type="dxa"/>
            <w:vAlign w:val="center"/>
          </w:tcPr>
          <w:p>
            <w:pPr>
              <w:spacing w:line="360" w:lineRule="auto"/>
              <w:rPr>
                <w:szCs w:val="21"/>
              </w:rPr>
            </w:pPr>
            <w:r>
              <w:rPr>
                <w:rFonts w:hint="eastAsia"/>
                <w:szCs w:val="21"/>
              </w:rPr>
              <w:t>设计风压</w:t>
            </w:r>
          </w:p>
        </w:tc>
        <w:tc>
          <w:tcPr>
            <w:tcW w:w="3683" w:type="dxa"/>
            <w:vAlign w:val="center"/>
          </w:tcPr>
          <w:p>
            <w:pPr>
              <w:tabs>
                <w:tab w:val="left" w:pos="480"/>
              </w:tabs>
              <w:snapToGrid w:val="0"/>
              <w:spacing w:line="360" w:lineRule="auto"/>
              <w:rPr>
                <w:szCs w:val="21"/>
              </w:rPr>
            </w:pPr>
          </w:p>
        </w:tc>
        <w:tc>
          <w:tcPr>
            <w:tcW w:w="1830" w:type="dxa"/>
            <w:vAlign w:val="center"/>
          </w:tcPr>
          <w:p>
            <w:pPr>
              <w:tabs>
                <w:tab w:val="left" w:pos="480"/>
              </w:tabs>
              <w:snapToGrid w:val="0"/>
              <w:spacing w:line="360" w:lineRule="auto"/>
              <w:jc w:val="center"/>
              <w:rPr>
                <w:szCs w:val="21"/>
              </w:rPr>
            </w:pPr>
            <w:r>
              <w:rPr>
                <w:rFonts w:hint="eastAsia"/>
                <w:color w:val="000000"/>
              </w:rPr>
              <w:t>≥</w:t>
            </w:r>
            <w:r>
              <w:rPr>
                <w:szCs w:val="21"/>
              </w:rPr>
              <w:t>8</w:t>
            </w:r>
          </w:p>
        </w:tc>
        <w:tc>
          <w:tcPr>
            <w:tcW w:w="1458" w:type="dxa"/>
            <w:vAlign w:val="center"/>
          </w:tcPr>
          <w:p>
            <w:pPr>
              <w:tabs>
                <w:tab w:val="left" w:pos="480"/>
              </w:tabs>
              <w:snapToGrid w:val="0"/>
              <w:spacing w:line="360" w:lineRule="auto"/>
              <w:rPr>
                <w:szCs w:val="21"/>
              </w:rPr>
            </w:pPr>
            <w:r>
              <w:rPr>
                <w:rFonts w:hint="eastAsia"/>
                <w:szCs w:val="21"/>
              </w:rPr>
              <w:t>K</w:t>
            </w:r>
            <w:r>
              <w:rPr>
                <w:szCs w:val="21"/>
              </w:rPr>
              <w:t>Pa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85" w:type="dxa"/>
            <w:bottom w:w="57" w:type="dxa"/>
            <w:right w:w="85" w:type="dxa"/>
          </w:tblCellMar>
        </w:tblPrEx>
        <w:trPr>
          <w:jc w:val="right"/>
        </w:trPr>
        <w:tc>
          <w:tcPr>
            <w:tcW w:w="2072" w:type="dxa"/>
            <w:vAlign w:val="center"/>
          </w:tcPr>
          <w:p>
            <w:pPr>
              <w:spacing w:line="360" w:lineRule="auto"/>
              <w:rPr>
                <w:szCs w:val="21"/>
              </w:rPr>
            </w:pPr>
            <w:r>
              <w:rPr>
                <w:rFonts w:hint="eastAsia"/>
                <w:szCs w:val="21"/>
              </w:rPr>
              <w:t>电机</w:t>
            </w:r>
            <w:r>
              <w:rPr>
                <w:szCs w:val="21"/>
              </w:rPr>
              <w:t>功率</w:t>
            </w:r>
          </w:p>
        </w:tc>
        <w:tc>
          <w:tcPr>
            <w:tcW w:w="3683" w:type="dxa"/>
            <w:vAlign w:val="center"/>
          </w:tcPr>
          <w:p>
            <w:pPr>
              <w:tabs>
                <w:tab w:val="left" w:pos="480"/>
              </w:tabs>
              <w:snapToGrid w:val="0"/>
              <w:spacing w:line="360" w:lineRule="auto"/>
              <w:rPr>
                <w:szCs w:val="21"/>
              </w:rPr>
            </w:pPr>
          </w:p>
        </w:tc>
        <w:tc>
          <w:tcPr>
            <w:tcW w:w="1830" w:type="dxa"/>
            <w:vAlign w:val="center"/>
          </w:tcPr>
          <w:p>
            <w:pPr>
              <w:tabs>
                <w:tab w:val="left" w:pos="480"/>
              </w:tabs>
              <w:snapToGrid w:val="0"/>
              <w:spacing w:line="360" w:lineRule="auto"/>
              <w:jc w:val="center"/>
              <w:rPr>
                <w:szCs w:val="21"/>
              </w:rPr>
            </w:pPr>
            <w:r>
              <w:rPr>
                <w:szCs w:val="21"/>
              </w:rPr>
              <w:t>7.5</w:t>
            </w:r>
          </w:p>
        </w:tc>
        <w:tc>
          <w:tcPr>
            <w:tcW w:w="1458" w:type="dxa"/>
            <w:vAlign w:val="center"/>
          </w:tcPr>
          <w:p>
            <w:pPr>
              <w:tabs>
                <w:tab w:val="left" w:pos="480"/>
              </w:tabs>
              <w:snapToGrid w:val="0"/>
              <w:spacing w:line="360" w:lineRule="auto"/>
              <w:rPr>
                <w:szCs w:val="21"/>
              </w:rPr>
            </w:pPr>
            <w:r>
              <w:rPr>
                <w:rFonts w:hint="eastAsia"/>
                <w:szCs w:val="21"/>
              </w:rPr>
              <w:t>KW</w:t>
            </w:r>
          </w:p>
        </w:tc>
      </w:tr>
    </w:tbl>
    <w:p>
      <w:pPr>
        <w:snapToGrid w:val="0"/>
        <w:spacing w:line="360" w:lineRule="auto"/>
        <w:rPr>
          <w:szCs w:val="24"/>
        </w:rPr>
      </w:pPr>
      <w:r>
        <w:rPr>
          <w:rFonts w:hint="eastAsia"/>
          <w:szCs w:val="24"/>
        </w:rPr>
        <w:t xml:space="preserve">   </w:t>
      </w:r>
    </w:p>
    <w:p>
      <w:pPr>
        <w:snapToGrid w:val="0"/>
        <w:spacing w:line="360" w:lineRule="auto"/>
        <w:ind w:firstLine="440" w:firstLineChars="200"/>
        <w:rPr>
          <w:szCs w:val="24"/>
          <w:lang w:eastAsia="zh-CN"/>
        </w:rPr>
      </w:pPr>
      <w:r>
        <w:rPr>
          <w:rFonts w:hint="eastAsia"/>
          <w:szCs w:val="24"/>
          <w:lang w:eastAsia="zh-CN"/>
        </w:rPr>
        <w:t>锅炉</w:t>
      </w:r>
      <w:r>
        <w:rPr>
          <w:szCs w:val="24"/>
          <w:lang w:eastAsia="zh-CN"/>
        </w:rPr>
        <w:t>一次风机</w:t>
      </w:r>
      <w:r>
        <w:rPr>
          <w:rFonts w:hint="eastAsia"/>
          <w:szCs w:val="24"/>
          <w:lang w:eastAsia="zh-CN"/>
        </w:rPr>
        <w:t>为</w:t>
      </w:r>
      <w:r>
        <w:rPr>
          <w:szCs w:val="24"/>
          <w:lang w:eastAsia="zh-CN"/>
        </w:rPr>
        <w:t>鞍山华冠风机制造</w:t>
      </w:r>
      <w:r>
        <w:rPr>
          <w:rFonts w:hint="eastAsia"/>
          <w:szCs w:val="24"/>
          <w:lang w:eastAsia="zh-CN"/>
        </w:rPr>
        <w:t>有限公司</w:t>
      </w:r>
      <w:r>
        <w:rPr>
          <w:szCs w:val="24"/>
          <w:lang w:eastAsia="zh-CN"/>
        </w:rPr>
        <w:t>生产，</w:t>
      </w:r>
      <w:r>
        <w:rPr>
          <w:rFonts w:hint="eastAsia"/>
          <w:szCs w:val="24"/>
          <w:lang w:eastAsia="zh-CN"/>
        </w:rPr>
        <w:t>型号</w:t>
      </w:r>
      <w:r>
        <w:rPr>
          <w:szCs w:val="24"/>
          <w:lang w:eastAsia="zh-CN"/>
        </w:rPr>
        <w:t>：</w:t>
      </w:r>
      <w:r>
        <w:rPr>
          <w:rFonts w:ascii="Times New Roman" w:hAnsi="Times New Roman"/>
          <w:szCs w:val="24"/>
          <w:lang w:eastAsia="zh-CN"/>
        </w:rPr>
        <w:t>AGX260-6CNO19.4F</w:t>
      </w:r>
    </w:p>
    <w:tbl>
      <w:tblPr>
        <w:tblStyle w:val="60"/>
        <w:tblW w:w="0" w:type="auto"/>
        <w:jc w:val="right"/>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57" w:type="dxa"/>
          <w:left w:w="85" w:type="dxa"/>
          <w:bottom w:w="57" w:type="dxa"/>
          <w:right w:w="85" w:type="dxa"/>
        </w:tblCellMar>
      </w:tblPr>
      <w:tblGrid>
        <w:gridCol w:w="2072"/>
        <w:gridCol w:w="3683"/>
        <w:gridCol w:w="1830"/>
        <w:gridCol w:w="145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85" w:type="dxa"/>
            <w:bottom w:w="57" w:type="dxa"/>
            <w:right w:w="85" w:type="dxa"/>
          </w:tblCellMar>
        </w:tblPrEx>
        <w:trPr>
          <w:jc w:val="right"/>
        </w:trPr>
        <w:tc>
          <w:tcPr>
            <w:tcW w:w="2072" w:type="dxa"/>
            <w:vAlign w:val="center"/>
          </w:tcPr>
          <w:p>
            <w:pPr>
              <w:tabs>
                <w:tab w:val="left" w:pos="480"/>
              </w:tabs>
              <w:snapToGrid w:val="0"/>
              <w:spacing w:line="360" w:lineRule="auto"/>
              <w:rPr>
                <w:szCs w:val="21"/>
              </w:rPr>
            </w:pPr>
            <w:r>
              <w:rPr>
                <w:rFonts w:hint="eastAsia"/>
                <w:szCs w:val="21"/>
              </w:rPr>
              <w:t>风机</w:t>
            </w:r>
            <w:r>
              <w:rPr>
                <w:szCs w:val="21"/>
              </w:rPr>
              <w:t>型号</w:t>
            </w:r>
          </w:p>
        </w:tc>
        <w:tc>
          <w:tcPr>
            <w:tcW w:w="3683" w:type="dxa"/>
            <w:vAlign w:val="center"/>
          </w:tcPr>
          <w:p>
            <w:pPr>
              <w:tabs>
                <w:tab w:val="left" w:pos="480"/>
              </w:tabs>
              <w:snapToGrid w:val="0"/>
              <w:spacing w:line="360" w:lineRule="auto"/>
              <w:rPr>
                <w:szCs w:val="21"/>
              </w:rPr>
            </w:pPr>
            <w:r>
              <w:rPr>
                <w:rFonts w:ascii="Times New Roman" w:hAnsi="Times New Roman"/>
                <w:szCs w:val="24"/>
              </w:rPr>
              <w:t>AGX260-6CNO19.4F</w:t>
            </w:r>
          </w:p>
        </w:tc>
        <w:tc>
          <w:tcPr>
            <w:tcW w:w="1830" w:type="dxa"/>
            <w:vAlign w:val="center"/>
          </w:tcPr>
          <w:p>
            <w:pPr>
              <w:tabs>
                <w:tab w:val="left" w:pos="480"/>
              </w:tabs>
              <w:snapToGrid w:val="0"/>
              <w:spacing w:line="360" w:lineRule="auto"/>
              <w:jc w:val="center"/>
              <w:rPr>
                <w:szCs w:val="21"/>
              </w:rPr>
            </w:pPr>
          </w:p>
        </w:tc>
        <w:tc>
          <w:tcPr>
            <w:tcW w:w="1458" w:type="dxa"/>
            <w:vAlign w:val="center"/>
          </w:tcPr>
          <w:p>
            <w:pPr>
              <w:tabs>
                <w:tab w:val="left" w:pos="480"/>
              </w:tabs>
              <w:snapToGrid w:val="0"/>
              <w:spacing w:line="360" w:lineRule="auto"/>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85" w:type="dxa"/>
            <w:bottom w:w="57" w:type="dxa"/>
            <w:right w:w="85" w:type="dxa"/>
          </w:tblCellMar>
        </w:tblPrEx>
        <w:trPr>
          <w:jc w:val="right"/>
        </w:trPr>
        <w:tc>
          <w:tcPr>
            <w:tcW w:w="2072" w:type="dxa"/>
            <w:vAlign w:val="center"/>
          </w:tcPr>
          <w:p>
            <w:pPr>
              <w:spacing w:line="360" w:lineRule="auto"/>
              <w:rPr>
                <w:szCs w:val="21"/>
              </w:rPr>
            </w:pPr>
            <w:r>
              <w:rPr>
                <w:rFonts w:hint="eastAsia"/>
                <w:szCs w:val="21"/>
              </w:rPr>
              <w:t>设计流量</w:t>
            </w:r>
          </w:p>
        </w:tc>
        <w:tc>
          <w:tcPr>
            <w:tcW w:w="3683" w:type="dxa"/>
            <w:vAlign w:val="center"/>
          </w:tcPr>
          <w:p>
            <w:pPr>
              <w:tabs>
                <w:tab w:val="left" w:pos="480"/>
              </w:tabs>
              <w:snapToGrid w:val="0"/>
              <w:spacing w:line="360" w:lineRule="auto"/>
              <w:rPr>
                <w:szCs w:val="21"/>
              </w:rPr>
            </w:pPr>
          </w:p>
        </w:tc>
        <w:tc>
          <w:tcPr>
            <w:tcW w:w="1830" w:type="dxa"/>
            <w:vAlign w:val="center"/>
          </w:tcPr>
          <w:p>
            <w:pPr>
              <w:tabs>
                <w:tab w:val="left" w:pos="480"/>
              </w:tabs>
              <w:snapToGrid w:val="0"/>
              <w:spacing w:line="360" w:lineRule="auto"/>
              <w:jc w:val="center"/>
              <w:rPr>
                <w:szCs w:val="21"/>
              </w:rPr>
            </w:pPr>
            <w:r>
              <w:rPr>
                <w:rFonts w:hint="eastAsia"/>
                <w:color w:val="000000"/>
                <w:szCs w:val="24"/>
              </w:rPr>
              <w:t>143434</w:t>
            </w:r>
          </w:p>
        </w:tc>
        <w:tc>
          <w:tcPr>
            <w:tcW w:w="1458" w:type="dxa"/>
            <w:vAlign w:val="center"/>
          </w:tcPr>
          <w:p>
            <w:pPr>
              <w:tabs>
                <w:tab w:val="left" w:pos="480"/>
              </w:tabs>
              <w:snapToGrid w:val="0"/>
              <w:spacing w:line="360" w:lineRule="auto"/>
              <w:rPr>
                <w:szCs w:val="21"/>
              </w:rPr>
            </w:pPr>
            <w:r>
              <w:rPr>
                <w:rFonts w:hint="eastAsia"/>
                <w:color w:val="000000"/>
              </w:rPr>
              <w:t>m³/h</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85" w:type="dxa"/>
            <w:bottom w:w="57" w:type="dxa"/>
            <w:right w:w="85" w:type="dxa"/>
          </w:tblCellMar>
        </w:tblPrEx>
        <w:trPr>
          <w:jc w:val="right"/>
        </w:trPr>
        <w:tc>
          <w:tcPr>
            <w:tcW w:w="2072" w:type="dxa"/>
            <w:vAlign w:val="center"/>
          </w:tcPr>
          <w:p>
            <w:pPr>
              <w:spacing w:line="360" w:lineRule="auto"/>
              <w:rPr>
                <w:szCs w:val="21"/>
              </w:rPr>
            </w:pPr>
            <w:r>
              <w:rPr>
                <w:rFonts w:hint="eastAsia"/>
                <w:szCs w:val="21"/>
              </w:rPr>
              <w:t>风压</w:t>
            </w:r>
          </w:p>
        </w:tc>
        <w:tc>
          <w:tcPr>
            <w:tcW w:w="3683" w:type="dxa"/>
            <w:vAlign w:val="center"/>
          </w:tcPr>
          <w:p>
            <w:pPr>
              <w:tabs>
                <w:tab w:val="left" w:pos="480"/>
              </w:tabs>
              <w:snapToGrid w:val="0"/>
              <w:spacing w:line="360" w:lineRule="auto"/>
              <w:rPr>
                <w:szCs w:val="21"/>
              </w:rPr>
            </w:pPr>
          </w:p>
        </w:tc>
        <w:tc>
          <w:tcPr>
            <w:tcW w:w="1830" w:type="dxa"/>
            <w:vAlign w:val="center"/>
          </w:tcPr>
          <w:p>
            <w:pPr>
              <w:tabs>
                <w:tab w:val="left" w:pos="480"/>
              </w:tabs>
              <w:snapToGrid w:val="0"/>
              <w:spacing w:line="360" w:lineRule="auto"/>
              <w:jc w:val="center"/>
              <w:rPr>
                <w:szCs w:val="21"/>
              </w:rPr>
            </w:pPr>
            <w:r>
              <w:rPr>
                <w:rFonts w:hint="eastAsia"/>
                <w:color w:val="000000"/>
              </w:rPr>
              <w:t>16.616</w:t>
            </w:r>
          </w:p>
        </w:tc>
        <w:tc>
          <w:tcPr>
            <w:tcW w:w="1458" w:type="dxa"/>
            <w:vAlign w:val="center"/>
          </w:tcPr>
          <w:p>
            <w:pPr>
              <w:tabs>
                <w:tab w:val="left" w:pos="480"/>
              </w:tabs>
              <w:snapToGrid w:val="0"/>
              <w:spacing w:line="360" w:lineRule="auto"/>
              <w:rPr>
                <w:szCs w:val="21"/>
              </w:rPr>
            </w:pPr>
            <w:r>
              <w:rPr>
                <w:rFonts w:hint="eastAsia"/>
                <w:szCs w:val="21"/>
              </w:rPr>
              <w:t>K</w:t>
            </w:r>
            <w:r>
              <w:rPr>
                <w:szCs w:val="21"/>
              </w:rPr>
              <w:t>Pa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85" w:type="dxa"/>
            <w:bottom w:w="57" w:type="dxa"/>
            <w:right w:w="85" w:type="dxa"/>
          </w:tblCellMar>
        </w:tblPrEx>
        <w:trPr>
          <w:jc w:val="right"/>
        </w:trPr>
        <w:tc>
          <w:tcPr>
            <w:tcW w:w="2072" w:type="dxa"/>
            <w:vAlign w:val="center"/>
          </w:tcPr>
          <w:p>
            <w:pPr>
              <w:spacing w:line="360" w:lineRule="auto"/>
              <w:rPr>
                <w:szCs w:val="21"/>
              </w:rPr>
            </w:pPr>
            <w:r>
              <w:rPr>
                <w:rFonts w:hint="eastAsia"/>
                <w:szCs w:val="21"/>
              </w:rPr>
              <w:t>电机</w:t>
            </w:r>
            <w:r>
              <w:rPr>
                <w:szCs w:val="21"/>
              </w:rPr>
              <w:t>功率</w:t>
            </w:r>
          </w:p>
        </w:tc>
        <w:tc>
          <w:tcPr>
            <w:tcW w:w="3683" w:type="dxa"/>
            <w:vAlign w:val="center"/>
          </w:tcPr>
          <w:p>
            <w:pPr>
              <w:tabs>
                <w:tab w:val="left" w:pos="480"/>
              </w:tabs>
              <w:snapToGrid w:val="0"/>
              <w:spacing w:line="360" w:lineRule="auto"/>
              <w:rPr>
                <w:szCs w:val="21"/>
              </w:rPr>
            </w:pPr>
          </w:p>
        </w:tc>
        <w:tc>
          <w:tcPr>
            <w:tcW w:w="1830" w:type="dxa"/>
            <w:vAlign w:val="center"/>
          </w:tcPr>
          <w:p>
            <w:pPr>
              <w:tabs>
                <w:tab w:val="left" w:pos="480"/>
              </w:tabs>
              <w:snapToGrid w:val="0"/>
              <w:spacing w:line="360" w:lineRule="auto"/>
              <w:jc w:val="center"/>
              <w:rPr>
                <w:szCs w:val="21"/>
              </w:rPr>
            </w:pPr>
            <w:r>
              <w:rPr>
                <w:rFonts w:hint="eastAsia" w:ascii="Times New Roman" w:hAnsi="Times New Roman"/>
                <w:szCs w:val="24"/>
              </w:rPr>
              <w:t>900</w:t>
            </w:r>
          </w:p>
        </w:tc>
        <w:tc>
          <w:tcPr>
            <w:tcW w:w="1458" w:type="dxa"/>
            <w:vAlign w:val="center"/>
          </w:tcPr>
          <w:p>
            <w:pPr>
              <w:tabs>
                <w:tab w:val="left" w:pos="480"/>
              </w:tabs>
              <w:snapToGrid w:val="0"/>
              <w:spacing w:line="360" w:lineRule="auto"/>
              <w:rPr>
                <w:szCs w:val="21"/>
              </w:rPr>
            </w:pPr>
            <w:r>
              <w:rPr>
                <w:rFonts w:hint="eastAsia"/>
                <w:szCs w:val="21"/>
              </w:rPr>
              <w:t>KW</w:t>
            </w:r>
          </w:p>
        </w:tc>
      </w:tr>
    </w:tbl>
    <w:p>
      <w:pPr>
        <w:snapToGrid w:val="0"/>
        <w:spacing w:line="360" w:lineRule="auto"/>
        <w:ind w:firstLine="440" w:firstLineChars="200"/>
        <w:rPr>
          <w:szCs w:val="24"/>
          <w:lang w:eastAsia="zh-CN"/>
        </w:rPr>
      </w:pPr>
      <w:r>
        <w:rPr>
          <w:rFonts w:hint="eastAsia"/>
          <w:szCs w:val="24"/>
          <w:lang w:eastAsia="zh-CN"/>
        </w:rPr>
        <w:t>一次风机</w:t>
      </w:r>
      <w:r>
        <w:rPr>
          <w:szCs w:val="24"/>
          <w:lang w:eastAsia="zh-CN"/>
        </w:rPr>
        <w:t>设计</w:t>
      </w:r>
      <w:r>
        <w:rPr>
          <w:rFonts w:hint="eastAsia"/>
          <w:szCs w:val="24"/>
          <w:lang w:eastAsia="zh-CN"/>
        </w:rPr>
        <w:t>裕量</w:t>
      </w:r>
      <w:r>
        <w:rPr>
          <w:szCs w:val="24"/>
          <w:lang w:eastAsia="zh-CN"/>
        </w:rPr>
        <w:t>大，</w:t>
      </w:r>
      <w:r>
        <w:rPr>
          <w:rFonts w:hint="eastAsia"/>
          <w:szCs w:val="24"/>
          <w:lang w:eastAsia="zh-CN"/>
        </w:rPr>
        <w:t>单台风机</w:t>
      </w:r>
      <w:r>
        <w:rPr>
          <w:szCs w:val="24"/>
          <w:lang w:eastAsia="zh-CN"/>
        </w:rPr>
        <w:t>可满足锅炉</w:t>
      </w:r>
      <w:r>
        <w:rPr>
          <w:rFonts w:hint="eastAsia"/>
          <w:szCs w:val="24"/>
          <w:lang w:eastAsia="zh-CN"/>
        </w:rPr>
        <w:t>60</w:t>
      </w:r>
      <w:r>
        <w:rPr>
          <w:szCs w:val="24"/>
          <w:lang w:eastAsia="zh-CN"/>
        </w:rPr>
        <w:t>%</w:t>
      </w:r>
      <w:r>
        <w:rPr>
          <w:rFonts w:hint="eastAsia"/>
          <w:szCs w:val="24"/>
          <w:lang w:eastAsia="zh-CN"/>
        </w:rPr>
        <w:t>负荷</w:t>
      </w:r>
      <w:r>
        <w:rPr>
          <w:szCs w:val="24"/>
          <w:lang w:eastAsia="zh-CN"/>
        </w:rPr>
        <w:t>要求，可满足</w:t>
      </w:r>
      <w:r>
        <w:rPr>
          <w:rFonts w:hint="eastAsia"/>
          <w:szCs w:val="24"/>
          <w:lang w:eastAsia="zh-CN"/>
        </w:rPr>
        <w:t>替代</w:t>
      </w:r>
      <w:r>
        <w:rPr>
          <w:szCs w:val="24"/>
          <w:lang w:eastAsia="zh-CN"/>
        </w:rPr>
        <w:t>火检风源管</w:t>
      </w:r>
      <w:r>
        <w:rPr>
          <w:rFonts w:hint="eastAsia"/>
          <w:szCs w:val="24"/>
          <w:lang w:eastAsia="zh-CN"/>
        </w:rPr>
        <w:t>风量及</w:t>
      </w:r>
      <w:r>
        <w:rPr>
          <w:szCs w:val="24"/>
          <w:lang w:eastAsia="zh-CN"/>
        </w:rPr>
        <w:t>风压条件。</w:t>
      </w:r>
    </w:p>
    <w:p>
      <w:pPr>
        <w:snapToGrid w:val="0"/>
        <w:spacing w:line="360" w:lineRule="auto"/>
        <w:rPr>
          <w:szCs w:val="24"/>
          <w:lang w:eastAsia="zh-CN"/>
        </w:rPr>
      </w:pPr>
      <w:r>
        <w:rPr>
          <w:rFonts w:hint="eastAsia"/>
          <w:szCs w:val="24"/>
          <w:lang w:eastAsia="zh-CN"/>
        </w:rPr>
        <w:t>2</w:t>
      </w:r>
      <w:r>
        <w:rPr>
          <w:szCs w:val="24"/>
          <w:lang w:eastAsia="zh-CN"/>
        </w:rPr>
        <w:t xml:space="preserve">.2 </w:t>
      </w:r>
      <w:r>
        <w:rPr>
          <w:rFonts w:hint="eastAsia"/>
          <w:szCs w:val="24"/>
          <w:lang w:eastAsia="zh-CN"/>
        </w:rPr>
        <w:t>工程主要原始资料</w:t>
      </w:r>
    </w:p>
    <w:p>
      <w:pPr>
        <w:snapToGrid w:val="0"/>
        <w:spacing w:line="360" w:lineRule="auto"/>
        <w:rPr>
          <w:szCs w:val="24"/>
          <w:lang w:eastAsia="zh-CN"/>
        </w:rPr>
      </w:pPr>
      <w:r>
        <w:rPr>
          <w:rFonts w:hint="eastAsia"/>
          <w:szCs w:val="24"/>
          <w:lang w:eastAsia="zh-CN"/>
        </w:rPr>
        <w:t>2.</w:t>
      </w:r>
      <w:r>
        <w:rPr>
          <w:szCs w:val="24"/>
          <w:lang w:eastAsia="zh-CN"/>
        </w:rPr>
        <w:t xml:space="preserve">2.1 </w:t>
      </w:r>
      <w:r>
        <w:rPr>
          <w:rFonts w:hint="eastAsia"/>
          <w:szCs w:val="24"/>
          <w:lang w:eastAsia="zh-CN"/>
        </w:rPr>
        <w:t>气象资料</w:t>
      </w:r>
    </w:p>
    <w:p>
      <w:pPr>
        <w:snapToGrid w:val="0"/>
        <w:spacing w:line="360" w:lineRule="auto"/>
        <w:jc w:val="both"/>
        <w:rPr>
          <w:rFonts w:cs="Arial"/>
          <w:szCs w:val="24"/>
          <w:lang w:eastAsia="zh-CN"/>
        </w:rPr>
      </w:pPr>
      <w:r>
        <w:rPr>
          <w:rFonts w:hint="eastAsia" w:cs="Arial"/>
          <w:szCs w:val="24"/>
          <w:lang w:eastAsia="zh-CN"/>
        </w:rPr>
        <w:t>（1）</w:t>
      </w:r>
      <w:r>
        <w:rPr>
          <w:rFonts w:cs="Arial"/>
          <w:szCs w:val="24"/>
          <w:lang w:eastAsia="zh-CN"/>
        </w:rPr>
        <w:t xml:space="preserve"> </w:t>
      </w:r>
      <w:r>
        <w:rPr>
          <w:rFonts w:hint="eastAsia" w:cs="Arial"/>
          <w:szCs w:val="24"/>
          <w:lang w:eastAsia="zh-CN"/>
        </w:rPr>
        <w:t>气  温：</w:t>
      </w:r>
    </w:p>
    <w:p>
      <w:pPr>
        <w:tabs>
          <w:tab w:val="left" w:pos="567"/>
        </w:tabs>
        <w:snapToGrid w:val="0"/>
        <w:spacing w:line="360" w:lineRule="auto"/>
        <w:ind w:firstLine="649" w:firstLineChars="295"/>
        <w:jc w:val="both"/>
        <w:rPr>
          <w:rFonts w:cs="Arial"/>
          <w:szCs w:val="24"/>
          <w:lang w:eastAsia="zh-CN"/>
        </w:rPr>
      </w:pPr>
      <w:r>
        <w:rPr>
          <w:rFonts w:hint="eastAsia" w:cs="Arial"/>
          <w:szCs w:val="24"/>
          <w:lang w:eastAsia="zh-CN"/>
        </w:rPr>
        <w:t>年平均气温:        21.3℃</w:t>
      </w:r>
    </w:p>
    <w:p>
      <w:pPr>
        <w:tabs>
          <w:tab w:val="left" w:pos="567"/>
        </w:tabs>
        <w:snapToGrid w:val="0"/>
        <w:spacing w:line="360" w:lineRule="auto"/>
        <w:ind w:firstLine="649" w:firstLineChars="295"/>
        <w:jc w:val="both"/>
        <w:rPr>
          <w:rFonts w:cs="Arial"/>
          <w:szCs w:val="24"/>
          <w:lang w:eastAsia="zh-CN"/>
        </w:rPr>
      </w:pPr>
      <w:r>
        <w:rPr>
          <w:rFonts w:hint="eastAsia" w:cs="Arial"/>
          <w:szCs w:val="24"/>
          <w:lang w:eastAsia="zh-CN"/>
        </w:rPr>
        <w:t>最高气温:</w:t>
      </w:r>
      <w:r>
        <w:rPr>
          <w:rFonts w:cs="Arial"/>
          <w:szCs w:val="24"/>
          <w:lang w:eastAsia="zh-CN"/>
        </w:rPr>
        <w:t xml:space="preserve"> </w:t>
      </w:r>
      <w:r>
        <w:rPr>
          <w:rFonts w:hint="eastAsia" w:cs="Arial"/>
          <w:szCs w:val="24"/>
          <w:lang w:eastAsia="zh-CN"/>
        </w:rPr>
        <w:t xml:space="preserve">         38.2℃</w:t>
      </w:r>
    </w:p>
    <w:p>
      <w:pPr>
        <w:tabs>
          <w:tab w:val="left" w:pos="567"/>
        </w:tabs>
        <w:snapToGrid w:val="0"/>
        <w:spacing w:line="360" w:lineRule="auto"/>
        <w:ind w:firstLine="649" w:firstLineChars="295"/>
        <w:jc w:val="both"/>
        <w:rPr>
          <w:rFonts w:cs="Arial"/>
          <w:szCs w:val="24"/>
          <w:lang w:eastAsia="zh-CN"/>
        </w:rPr>
      </w:pPr>
      <w:r>
        <w:rPr>
          <w:rFonts w:hint="eastAsia" w:cs="Arial"/>
          <w:szCs w:val="24"/>
          <w:lang w:eastAsia="zh-CN"/>
        </w:rPr>
        <w:t>最低气温:          4.7℃</w:t>
      </w:r>
    </w:p>
    <w:p>
      <w:pPr>
        <w:snapToGrid w:val="0"/>
        <w:spacing w:line="360" w:lineRule="auto"/>
        <w:rPr>
          <w:rFonts w:cs="Arial"/>
          <w:szCs w:val="24"/>
          <w:lang w:eastAsia="zh-CN"/>
        </w:rPr>
      </w:pPr>
      <w:r>
        <w:rPr>
          <w:rFonts w:hint="eastAsia" w:cs="Arial"/>
          <w:szCs w:val="24"/>
          <w:lang w:eastAsia="zh-CN"/>
        </w:rPr>
        <w:t>（2） 气压</w:t>
      </w:r>
    </w:p>
    <w:p>
      <w:pPr>
        <w:tabs>
          <w:tab w:val="left" w:pos="567"/>
        </w:tabs>
        <w:snapToGrid w:val="0"/>
        <w:spacing w:line="360" w:lineRule="auto"/>
        <w:ind w:firstLine="660" w:firstLineChars="300"/>
        <w:rPr>
          <w:rFonts w:cs="Arial"/>
          <w:szCs w:val="24"/>
          <w:lang w:eastAsia="zh-CN"/>
        </w:rPr>
      </w:pPr>
      <w:r>
        <w:rPr>
          <w:rFonts w:hint="eastAsia" w:cs="Arial"/>
          <w:szCs w:val="24"/>
          <w:lang w:eastAsia="zh-CN"/>
        </w:rPr>
        <w:t>年平均大气压：</w:t>
      </w:r>
      <w:r>
        <w:rPr>
          <w:rFonts w:hint="eastAsia" w:cs="Arial"/>
          <w:szCs w:val="24"/>
          <w:lang w:eastAsia="zh-CN"/>
        </w:rPr>
        <w:tab/>
      </w:r>
      <w:r>
        <w:rPr>
          <w:rFonts w:hint="eastAsia" w:cs="Arial"/>
          <w:szCs w:val="24"/>
          <w:lang w:eastAsia="zh-CN"/>
        </w:rPr>
        <w:tab/>
      </w:r>
      <w:r>
        <w:rPr>
          <w:rFonts w:hint="eastAsia" w:cs="Arial"/>
          <w:szCs w:val="24"/>
          <w:lang w:eastAsia="zh-CN"/>
        </w:rPr>
        <w:t>1007.6hPa</w:t>
      </w:r>
    </w:p>
    <w:p>
      <w:pPr>
        <w:snapToGrid w:val="0"/>
        <w:spacing w:line="360" w:lineRule="auto"/>
        <w:jc w:val="both"/>
        <w:rPr>
          <w:rFonts w:cs="Arial"/>
          <w:szCs w:val="24"/>
          <w:lang w:eastAsia="zh-CN"/>
        </w:rPr>
      </w:pPr>
      <w:r>
        <w:rPr>
          <w:rFonts w:hint="eastAsia" w:cs="Arial"/>
          <w:szCs w:val="24"/>
          <w:lang w:eastAsia="zh-CN"/>
        </w:rPr>
        <w:t>（3） 相对湿度</w:t>
      </w:r>
    </w:p>
    <w:p>
      <w:pPr>
        <w:snapToGrid w:val="0"/>
        <w:spacing w:line="360" w:lineRule="auto"/>
        <w:ind w:firstLine="649" w:firstLineChars="295"/>
        <w:jc w:val="both"/>
        <w:rPr>
          <w:rFonts w:cs="Arial"/>
          <w:szCs w:val="24"/>
          <w:lang w:eastAsia="zh-CN"/>
        </w:rPr>
      </w:pPr>
      <w:r>
        <w:rPr>
          <w:rFonts w:hint="eastAsia" w:cs="Arial"/>
          <w:szCs w:val="24"/>
          <w:lang w:eastAsia="zh-CN"/>
        </w:rPr>
        <w:t>年平均相对湿度:   80%</w:t>
      </w:r>
    </w:p>
    <w:p>
      <w:pPr>
        <w:snapToGrid w:val="0"/>
        <w:spacing w:line="360" w:lineRule="auto"/>
        <w:ind w:firstLine="110" w:firstLineChars="50"/>
        <w:jc w:val="both"/>
        <w:rPr>
          <w:rFonts w:cs="Arial"/>
          <w:szCs w:val="24"/>
          <w:lang w:eastAsia="zh-CN"/>
        </w:rPr>
      </w:pPr>
      <w:r>
        <w:rPr>
          <w:rFonts w:hint="eastAsia"/>
          <w:szCs w:val="24"/>
          <w:lang w:eastAsia="zh-CN"/>
        </w:rPr>
        <w:t xml:space="preserve">(4)  </w:t>
      </w:r>
      <w:r>
        <w:rPr>
          <w:rFonts w:hint="eastAsia" w:cs="Arial"/>
          <w:szCs w:val="24"/>
          <w:lang w:eastAsia="zh-CN"/>
        </w:rPr>
        <w:t>地震设防烈度：7度</w:t>
      </w:r>
    </w:p>
    <w:p>
      <w:pPr>
        <w:snapToGrid w:val="0"/>
        <w:spacing w:line="360" w:lineRule="auto"/>
        <w:rPr>
          <w:lang w:eastAsia="zh-CN"/>
        </w:rPr>
      </w:pPr>
      <w:r>
        <w:rPr>
          <w:rFonts w:hint="eastAsia"/>
          <w:lang w:eastAsia="zh-CN"/>
        </w:rPr>
        <w:t>2.3 仪用压缩空气条件：</w:t>
      </w:r>
    </w:p>
    <w:p>
      <w:pPr>
        <w:snapToGrid w:val="0"/>
        <w:spacing w:line="360" w:lineRule="auto"/>
        <w:ind w:firstLine="440" w:firstLineChars="200"/>
        <w:rPr>
          <w:lang w:eastAsia="zh-CN"/>
        </w:rPr>
      </w:pPr>
      <w:r>
        <w:rPr>
          <w:lang w:eastAsia="zh-CN"/>
        </w:rPr>
        <w:t xml:space="preserve">厂用和仪表用压缩空气系统供气压力为 </w:t>
      </w:r>
      <w:r>
        <w:rPr>
          <w:rFonts w:hint="eastAsia"/>
          <w:lang w:eastAsia="zh-CN"/>
        </w:rPr>
        <w:t>0.45～0.65</w:t>
      </w:r>
      <w:r>
        <w:rPr>
          <w:lang w:eastAsia="zh-CN"/>
        </w:rPr>
        <w:t xml:space="preserve"> MPa，最高温度为 </w:t>
      </w:r>
      <w:r>
        <w:rPr>
          <w:rFonts w:hint="eastAsia"/>
          <w:lang w:eastAsia="zh-CN"/>
        </w:rPr>
        <w:t>50</w:t>
      </w:r>
      <w:r>
        <w:rPr>
          <w:lang w:eastAsia="zh-CN"/>
        </w:rPr>
        <w:t xml:space="preserve"> ℃。</w:t>
      </w:r>
    </w:p>
    <w:p>
      <w:pPr>
        <w:snapToGrid w:val="0"/>
        <w:spacing w:line="360" w:lineRule="auto"/>
        <w:rPr>
          <w:lang w:eastAsia="zh-CN"/>
        </w:rPr>
      </w:pPr>
      <w:r>
        <w:rPr>
          <w:rFonts w:hint="eastAsia"/>
          <w:lang w:eastAsia="zh-CN"/>
        </w:rPr>
        <w:t>3</w:t>
      </w:r>
      <w:r>
        <w:rPr>
          <w:lang w:eastAsia="zh-CN"/>
        </w:rPr>
        <w:t xml:space="preserve"> </w:t>
      </w:r>
      <w:r>
        <w:rPr>
          <w:rFonts w:hint="eastAsia"/>
          <w:lang w:eastAsia="zh-CN"/>
        </w:rPr>
        <w:t>设计和运行条件</w:t>
      </w:r>
      <w:bookmarkEnd w:id="6"/>
    </w:p>
    <w:p>
      <w:pPr>
        <w:snapToGrid w:val="0"/>
        <w:spacing w:line="360" w:lineRule="auto"/>
        <w:rPr>
          <w:szCs w:val="24"/>
          <w:lang w:eastAsia="zh-CN"/>
        </w:rPr>
      </w:pPr>
      <w:r>
        <w:rPr>
          <w:rFonts w:hint="eastAsia"/>
          <w:szCs w:val="24"/>
          <w:lang w:eastAsia="zh-CN"/>
        </w:rPr>
        <w:t>3.</w:t>
      </w:r>
      <w:r>
        <w:rPr>
          <w:szCs w:val="24"/>
          <w:lang w:eastAsia="zh-CN"/>
        </w:rPr>
        <w:t xml:space="preserve">1 </w:t>
      </w:r>
      <w:r>
        <w:rPr>
          <w:rFonts w:hint="eastAsia"/>
          <w:szCs w:val="24"/>
          <w:lang w:eastAsia="zh-CN"/>
        </w:rPr>
        <w:t>系统概况和相关设备</w:t>
      </w:r>
    </w:p>
    <w:p>
      <w:pPr>
        <w:snapToGrid w:val="0"/>
        <w:spacing w:line="360" w:lineRule="auto"/>
        <w:rPr>
          <w:szCs w:val="24"/>
          <w:lang w:eastAsia="zh-CN"/>
        </w:rPr>
      </w:pPr>
      <w:r>
        <w:rPr>
          <w:rFonts w:hint="eastAsia"/>
          <w:szCs w:val="24"/>
          <w:lang w:eastAsia="zh-CN"/>
        </w:rPr>
        <w:t>3.</w:t>
      </w:r>
      <w:r>
        <w:rPr>
          <w:szCs w:val="24"/>
          <w:lang w:eastAsia="zh-CN"/>
        </w:rPr>
        <w:t xml:space="preserve">1.1 </w:t>
      </w:r>
      <w:r>
        <w:rPr>
          <w:rFonts w:hint="eastAsia"/>
          <w:szCs w:val="24"/>
          <w:lang w:eastAsia="zh-CN"/>
        </w:rPr>
        <w:t>锅炉规范</w:t>
      </w:r>
    </w:p>
    <w:p>
      <w:pPr>
        <w:snapToGrid w:val="0"/>
        <w:spacing w:line="360" w:lineRule="auto"/>
        <w:ind w:right="-14"/>
        <w:rPr>
          <w:szCs w:val="24"/>
          <w:lang w:eastAsia="zh-CN"/>
        </w:rPr>
      </w:pPr>
      <w:r>
        <w:rPr>
          <w:rFonts w:hint="eastAsia"/>
          <w:szCs w:val="24"/>
          <w:lang w:eastAsia="zh-CN"/>
        </w:rPr>
        <w:t>1) 锅炉型式：</w:t>
      </w:r>
      <w:r>
        <w:rPr>
          <w:rFonts w:hint="eastAsia"/>
          <w:snapToGrid w:val="0"/>
          <w:kern w:val="2"/>
          <w:szCs w:val="24"/>
          <w:lang w:eastAsia="zh-CN"/>
        </w:rPr>
        <w:t>本期工程装设4台670t/h燃煤锅炉，锅炉为超高压参数变压运行煤粉炉，切圆燃烧方式、单炉膛、无再热、平衡通风、全钢构架、全悬吊结构</w:t>
      </w:r>
      <w:r>
        <w:rPr>
          <w:rFonts w:hint="eastAsia"/>
          <w:snapToGrid w:val="0"/>
          <w:kern w:val="2"/>
          <w:szCs w:val="24"/>
        </w:rPr>
        <w:t>Π</w:t>
      </w:r>
      <w:r>
        <w:rPr>
          <w:rFonts w:hint="eastAsia"/>
          <w:snapToGrid w:val="0"/>
          <w:kern w:val="2"/>
          <w:szCs w:val="24"/>
          <w:lang w:eastAsia="zh-CN"/>
        </w:rPr>
        <w:t>型锅炉。</w:t>
      </w:r>
    </w:p>
    <w:p>
      <w:pPr>
        <w:pStyle w:val="182"/>
      </w:pPr>
      <w:r>
        <w:t>2</w:t>
      </w:r>
      <w:r>
        <w:rPr>
          <w:rFonts w:hint="eastAsia"/>
        </w:rPr>
        <w:t>) 锅炉最大连续蒸发量：</w:t>
      </w:r>
      <w:r>
        <w:rPr>
          <w:rFonts w:hint="eastAsia"/>
          <w:u w:val="single"/>
        </w:rPr>
        <w:t>670</w:t>
      </w:r>
      <w:r>
        <w:rPr>
          <w:u w:val="single"/>
        </w:rPr>
        <w:t>t/h</w:t>
      </w:r>
      <w:r>
        <w:cr/>
      </w:r>
      <w:r>
        <w:t>3</w:t>
      </w:r>
      <w:r>
        <w:rPr>
          <w:rFonts w:hint="eastAsia"/>
        </w:rPr>
        <w:t xml:space="preserve">) 锅炉保证效率（额定蒸发量）： </w:t>
      </w:r>
      <w:r>
        <w:rPr>
          <w:rFonts w:hint="eastAsia"/>
          <w:u w:val="single"/>
        </w:rPr>
        <w:t xml:space="preserve">92 </w:t>
      </w:r>
      <w:r>
        <w:t>%</w:t>
      </w:r>
    </w:p>
    <w:p>
      <w:pPr>
        <w:snapToGrid w:val="0"/>
        <w:spacing w:line="360" w:lineRule="auto"/>
        <w:rPr>
          <w:szCs w:val="24"/>
          <w:lang w:eastAsia="zh-CN"/>
        </w:rPr>
      </w:pPr>
      <w:r>
        <w:rPr>
          <w:szCs w:val="24"/>
          <w:lang w:eastAsia="zh-CN"/>
        </w:rPr>
        <w:t xml:space="preserve">3.1.2 </w:t>
      </w:r>
      <w:r>
        <w:rPr>
          <w:rFonts w:hint="eastAsia"/>
          <w:szCs w:val="24"/>
          <w:lang w:eastAsia="zh-CN"/>
        </w:rPr>
        <w:t>火检风系统</w:t>
      </w:r>
    </w:p>
    <w:p>
      <w:pPr>
        <w:snapToGrid w:val="0"/>
        <w:spacing w:line="360" w:lineRule="auto"/>
        <w:ind w:firstLine="440" w:firstLineChars="200"/>
        <w:rPr>
          <w:bCs/>
          <w:snapToGrid w:val="0"/>
          <w:szCs w:val="21"/>
          <w:lang w:eastAsia="zh-CN"/>
        </w:rPr>
      </w:pPr>
      <w:r>
        <w:rPr>
          <w:rFonts w:hint="eastAsia"/>
          <w:szCs w:val="24"/>
          <w:lang w:eastAsia="zh-CN"/>
        </w:rPr>
        <w:t>现有火检风系统，每台炉配</w:t>
      </w:r>
      <w:r>
        <w:rPr>
          <w:szCs w:val="24"/>
          <w:lang w:eastAsia="zh-CN"/>
        </w:rPr>
        <w:t>2</w:t>
      </w:r>
      <w:r>
        <w:rPr>
          <w:rFonts w:hint="eastAsia"/>
          <w:szCs w:val="24"/>
          <w:lang w:eastAsia="zh-CN"/>
        </w:rPr>
        <w:t>台火检冷却风机，正常工况运行时：</w:t>
      </w:r>
      <w:r>
        <w:rPr>
          <w:szCs w:val="24"/>
          <w:lang w:eastAsia="zh-CN"/>
        </w:rPr>
        <w:t>1</w:t>
      </w:r>
      <w:r>
        <w:rPr>
          <w:rFonts w:hint="eastAsia"/>
          <w:szCs w:val="24"/>
          <w:lang w:eastAsia="zh-CN"/>
        </w:rPr>
        <w:t>台运行，</w:t>
      </w:r>
      <w:r>
        <w:rPr>
          <w:szCs w:val="24"/>
          <w:lang w:eastAsia="zh-CN"/>
        </w:rPr>
        <w:t>1</w:t>
      </w:r>
      <w:r>
        <w:rPr>
          <w:rFonts w:hint="eastAsia"/>
          <w:szCs w:val="24"/>
          <w:lang w:eastAsia="zh-CN"/>
        </w:rPr>
        <w:t>台备用。</w:t>
      </w:r>
    </w:p>
    <w:p>
      <w:pPr>
        <w:snapToGrid w:val="0"/>
        <w:spacing w:line="360" w:lineRule="auto"/>
        <w:ind w:firstLine="440" w:firstLineChars="200"/>
        <w:rPr>
          <w:bCs/>
          <w:snapToGrid w:val="0"/>
          <w:szCs w:val="21"/>
          <w:lang w:eastAsia="zh-CN"/>
        </w:rPr>
      </w:pPr>
      <w:r>
        <w:rPr>
          <w:rFonts w:hint="eastAsia"/>
          <w:color w:val="000000"/>
          <w:lang w:eastAsia="zh-CN"/>
        </w:rPr>
        <w:t>火检保护属于锅炉主保护之一，当两台火检冷却风机全部停运延时5秒，将触发锅炉主保护动作，锅炉停炉断汽。</w:t>
      </w:r>
      <w:r>
        <w:rPr>
          <w:rFonts w:hint="eastAsia"/>
          <w:bCs/>
          <w:snapToGrid w:val="0"/>
          <w:szCs w:val="21"/>
          <w:lang w:eastAsia="zh-CN"/>
        </w:rPr>
        <w:t>通过本次改造，火检风源主要由冷一次风提供，原火检风机作为备用风源，提高了火检风的可靠性，并减少设备运行（原火检风机正常情况下不运行），降低能源消耗。</w:t>
      </w:r>
    </w:p>
    <w:p>
      <w:pPr>
        <w:snapToGrid w:val="0"/>
        <w:spacing w:line="360" w:lineRule="auto"/>
        <w:rPr>
          <w:color w:val="000000"/>
          <w:szCs w:val="24"/>
          <w:lang w:eastAsia="zh-CN"/>
        </w:rPr>
      </w:pPr>
      <w:r>
        <w:rPr>
          <w:color w:val="000000"/>
          <w:szCs w:val="24"/>
          <w:lang w:eastAsia="zh-CN"/>
        </w:rPr>
        <w:t>3</w:t>
      </w:r>
      <w:r>
        <w:rPr>
          <w:rFonts w:hint="eastAsia"/>
          <w:color w:val="000000"/>
          <w:szCs w:val="24"/>
          <w:lang w:eastAsia="zh-CN"/>
        </w:rPr>
        <w:t>.2火检冷却风及一次风机主要数据汇总表：</w:t>
      </w:r>
    </w:p>
    <w:tbl>
      <w:tblPr>
        <w:tblStyle w:val="60"/>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07"/>
        <w:gridCol w:w="4160"/>
        <w:gridCol w:w="854"/>
        <w:gridCol w:w="24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07" w:type="dxa"/>
            <w:vAlign w:val="center"/>
          </w:tcPr>
          <w:p>
            <w:pPr>
              <w:snapToGrid w:val="0"/>
              <w:spacing w:line="360" w:lineRule="auto"/>
              <w:jc w:val="center"/>
              <w:rPr>
                <w:color w:val="000000"/>
                <w:sz w:val="21"/>
                <w:szCs w:val="21"/>
              </w:rPr>
            </w:pPr>
            <w:r>
              <w:rPr>
                <w:rFonts w:hint="eastAsia"/>
                <w:color w:val="000000"/>
                <w:sz w:val="21"/>
                <w:szCs w:val="21"/>
              </w:rPr>
              <w:t>序号</w:t>
            </w:r>
          </w:p>
        </w:tc>
        <w:tc>
          <w:tcPr>
            <w:tcW w:w="4160" w:type="dxa"/>
            <w:vAlign w:val="center"/>
          </w:tcPr>
          <w:p>
            <w:pPr>
              <w:snapToGrid w:val="0"/>
              <w:spacing w:line="360" w:lineRule="auto"/>
              <w:jc w:val="center"/>
              <w:rPr>
                <w:color w:val="000000"/>
                <w:sz w:val="21"/>
                <w:szCs w:val="21"/>
              </w:rPr>
            </w:pPr>
            <w:r>
              <w:rPr>
                <w:rFonts w:hint="eastAsia"/>
                <w:color w:val="000000"/>
                <w:sz w:val="21"/>
                <w:szCs w:val="21"/>
              </w:rPr>
              <w:t>项目</w:t>
            </w:r>
          </w:p>
        </w:tc>
        <w:tc>
          <w:tcPr>
            <w:tcW w:w="854" w:type="dxa"/>
            <w:vAlign w:val="center"/>
          </w:tcPr>
          <w:p>
            <w:pPr>
              <w:snapToGrid w:val="0"/>
              <w:spacing w:line="360" w:lineRule="auto"/>
              <w:jc w:val="center"/>
              <w:rPr>
                <w:color w:val="000000"/>
                <w:sz w:val="21"/>
                <w:szCs w:val="21"/>
              </w:rPr>
            </w:pPr>
            <w:r>
              <w:rPr>
                <w:rFonts w:hint="eastAsia"/>
                <w:color w:val="000000"/>
                <w:sz w:val="21"/>
                <w:szCs w:val="21"/>
              </w:rPr>
              <w:t>单位</w:t>
            </w:r>
          </w:p>
        </w:tc>
        <w:tc>
          <w:tcPr>
            <w:tcW w:w="2495" w:type="dxa"/>
            <w:vAlign w:val="center"/>
          </w:tcPr>
          <w:p>
            <w:pPr>
              <w:snapToGrid w:val="0"/>
              <w:spacing w:line="360" w:lineRule="auto"/>
              <w:jc w:val="center"/>
              <w:rPr>
                <w:color w:val="000000"/>
                <w:sz w:val="21"/>
                <w:szCs w:val="21"/>
              </w:rPr>
            </w:pPr>
            <w:r>
              <w:rPr>
                <w:rFonts w:hint="eastAsia"/>
                <w:color w:val="000000"/>
                <w:sz w:val="21"/>
                <w:szCs w:val="21"/>
              </w:rPr>
              <w:t>数值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07" w:type="dxa"/>
            <w:vAlign w:val="center"/>
          </w:tcPr>
          <w:p>
            <w:pPr>
              <w:snapToGrid w:val="0"/>
              <w:spacing w:line="360" w:lineRule="auto"/>
              <w:jc w:val="center"/>
              <w:rPr>
                <w:color w:val="000000"/>
                <w:sz w:val="21"/>
                <w:szCs w:val="21"/>
              </w:rPr>
            </w:pPr>
            <w:r>
              <w:rPr>
                <w:rFonts w:hint="eastAsia"/>
                <w:color w:val="000000"/>
                <w:sz w:val="21"/>
                <w:szCs w:val="21"/>
              </w:rPr>
              <w:t>1</w:t>
            </w:r>
          </w:p>
        </w:tc>
        <w:tc>
          <w:tcPr>
            <w:tcW w:w="4160" w:type="dxa"/>
            <w:vAlign w:val="center"/>
          </w:tcPr>
          <w:p>
            <w:pPr>
              <w:snapToGrid w:val="0"/>
              <w:spacing w:line="360" w:lineRule="auto"/>
              <w:jc w:val="center"/>
              <w:rPr>
                <w:color w:val="000000"/>
                <w:sz w:val="21"/>
                <w:szCs w:val="21"/>
              </w:rPr>
            </w:pPr>
            <w:r>
              <w:rPr>
                <w:rFonts w:hint="eastAsia"/>
                <w:color w:val="000000"/>
                <w:sz w:val="21"/>
                <w:szCs w:val="21"/>
              </w:rPr>
              <w:t>火检冷却</w:t>
            </w:r>
            <w:r>
              <w:rPr>
                <w:color w:val="000000"/>
                <w:sz w:val="21"/>
                <w:szCs w:val="21"/>
              </w:rPr>
              <w:t>风机</w:t>
            </w:r>
            <w:r>
              <w:rPr>
                <w:rFonts w:hint="eastAsia"/>
                <w:color w:val="000000"/>
                <w:sz w:val="21"/>
                <w:szCs w:val="21"/>
              </w:rPr>
              <w:t>型号</w:t>
            </w:r>
          </w:p>
        </w:tc>
        <w:tc>
          <w:tcPr>
            <w:tcW w:w="3349" w:type="dxa"/>
            <w:gridSpan w:val="2"/>
            <w:vAlign w:val="center"/>
          </w:tcPr>
          <w:p>
            <w:pPr>
              <w:snapToGrid w:val="0"/>
              <w:spacing w:line="360" w:lineRule="auto"/>
              <w:jc w:val="center"/>
              <w:rPr>
                <w:color w:val="000000"/>
                <w:sz w:val="21"/>
                <w:szCs w:val="21"/>
              </w:rPr>
            </w:pPr>
            <w:r>
              <w:rPr>
                <w:rFonts w:hint="eastAsia"/>
                <w:color w:val="000000"/>
              </w:rPr>
              <w:t>VC710N/2（ABB）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07" w:type="dxa"/>
            <w:vAlign w:val="center"/>
          </w:tcPr>
          <w:p>
            <w:pPr>
              <w:snapToGrid w:val="0"/>
              <w:spacing w:line="360" w:lineRule="auto"/>
              <w:jc w:val="center"/>
              <w:rPr>
                <w:color w:val="000000"/>
                <w:sz w:val="21"/>
                <w:szCs w:val="21"/>
              </w:rPr>
            </w:pPr>
            <w:r>
              <w:rPr>
                <w:rFonts w:hint="eastAsia"/>
                <w:color w:val="000000"/>
                <w:sz w:val="21"/>
                <w:szCs w:val="21"/>
              </w:rPr>
              <w:t>2</w:t>
            </w:r>
          </w:p>
        </w:tc>
        <w:tc>
          <w:tcPr>
            <w:tcW w:w="4160" w:type="dxa"/>
            <w:vAlign w:val="center"/>
          </w:tcPr>
          <w:p>
            <w:pPr>
              <w:snapToGrid w:val="0"/>
              <w:spacing w:line="360" w:lineRule="auto"/>
              <w:jc w:val="center"/>
              <w:rPr>
                <w:color w:val="000000"/>
                <w:sz w:val="21"/>
                <w:szCs w:val="21"/>
                <w:lang w:eastAsia="zh-CN"/>
              </w:rPr>
            </w:pPr>
            <w:r>
              <w:rPr>
                <w:rFonts w:hint="eastAsia"/>
                <w:color w:val="000000"/>
                <w:sz w:val="21"/>
                <w:szCs w:val="21"/>
                <w:lang w:eastAsia="zh-CN"/>
              </w:rPr>
              <w:t>每台锅炉配置风机台数</w:t>
            </w:r>
          </w:p>
        </w:tc>
        <w:tc>
          <w:tcPr>
            <w:tcW w:w="854" w:type="dxa"/>
            <w:vAlign w:val="center"/>
          </w:tcPr>
          <w:p>
            <w:pPr>
              <w:snapToGrid w:val="0"/>
              <w:spacing w:line="360" w:lineRule="auto"/>
              <w:jc w:val="center"/>
              <w:rPr>
                <w:color w:val="000000"/>
                <w:sz w:val="21"/>
                <w:szCs w:val="21"/>
              </w:rPr>
            </w:pPr>
            <w:r>
              <w:rPr>
                <w:rFonts w:hint="eastAsia"/>
                <w:color w:val="000000"/>
                <w:sz w:val="21"/>
                <w:szCs w:val="21"/>
              </w:rPr>
              <w:t>台</w:t>
            </w:r>
          </w:p>
        </w:tc>
        <w:tc>
          <w:tcPr>
            <w:tcW w:w="2495" w:type="dxa"/>
            <w:vAlign w:val="center"/>
          </w:tcPr>
          <w:p>
            <w:pPr>
              <w:snapToGrid w:val="0"/>
              <w:spacing w:line="360" w:lineRule="auto"/>
              <w:jc w:val="center"/>
              <w:rPr>
                <w:color w:val="000000"/>
                <w:sz w:val="21"/>
                <w:szCs w:val="21"/>
              </w:rPr>
            </w:pPr>
            <w:r>
              <w:rPr>
                <w:color w:val="000000"/>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07" w:type="dxa"/>
            <w:vAlign w:val="center"/>
          </w:tcPr>
          <w:p>
            <w:pPr>
              <w:snapToGrid w:val="0"/>
              <w:spacing w:line="360" w:lineRule="auto"/>
              <w:jc w:val="center"/>
              <w:rPr>
                <w:color w:val="000000"/>
                <w:sz w:val="21"/>
                <w:szCs w:val="21"/>
              </w:rPr>
            </w:pPr>
            <w:r>
              <w:rPr>
                <w:rFonts w:hint="eastAsia"/>
                <w:color w:val="000000"/>
                <w:sz w:val="21"/>
                <w:szCs w:val="21"/>
              </w:rPr>
              <w:t>3</w:t>
            </w:r>
          </w:p>
        </w:tc>
        <w:tc>
          <w:tcPr>
            <w:tcW w:w="4160" w:type="dxa"/>
            <w:vAlign w:val="center"/>
          </w:tcPr>
          <w:p>
            <w:pPr>
              <w:snapToGrid w:val="0"/>
              <w:spacing w:line="360" w:lineRule="auto"/>
              <w:jc w:val="center"/>
              <w:rPr>
                <w:color w:val="000000"/>
                <w:sz w:val="21"/>
                <w:szCs w:val="21"/>
              </w:rPr>
            </w:pPr>
            <w:r>
              <w:rPr>
                <w:rFonts w:hint="eastAsia"/>
                <w:color w:val="000000"/>
                <w:sz w:val="21"/>
                <w:szCs w:val="21"/>
              </w:rPr>
              <w:t>单台风机出力</w:t>
            </w:r>
          </w:p>
        </w:tc>
        <w:tc>
          <w:tcPr>
            <w:tcW w:w="854" w:type="dxa"/>
            <w:vAlign w:val="center"/>
          </w:tcPr>
          <w:p>
            <w:pPr>
              <w:snapToGrid w:val="0"/>
              <w:spacing w:line="360" w:lineRule="auto"/>
              <w:jc w:val="center"/>
              <w:rPr>
                <w:color w:val="000000"/>
                <w:sz w:val="21"/>
                <w:szCs w:val="21"/>
              </w:rPr>
            </w:pPr>
            <w:r>
              <w:rPr>
                <w:rFonts w:hint="eastAsia"/>
                <w:color w:val="000000"/>
              </w:rPr>
              <w:t>m³/h</w:t>
            </w:r>
          </w:p>
        </w:tc>
        <w:tc>
          <w:tcPr>
            <w:tcW w:w="2495" w:type="dxa"/>
            <w:vAlign w:val="center"/>
          </w:tcPr>
          <w:p>
            <w:pPr>
              <w:snapToGrid w:val="0"/>
              <w:spacing w:line="360" w:lineRule="auto"/>
              <w:jc w:val="center"/>
              <w:rPr>
                <w:color w:val="000000"/>
                <w:sz w:val="21"/>
                <w:szCs w:val="21"/>
              </w:rPr>
            </w:pPr>
            <w:r>
              <w:rPr>
                <w:color w:val="000000"/>
                <w:sz w:val="21"/>
                <w:szCs w:val="21"/>
              </w:rPr>
              <w:t>2400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07" w:type="dxa"/>
            <w:vAlign w:val="center"/>
          </w:tcPr>
          <w:p>
            <w:pPr>
              <w:snapToGrid w:val="0"/>
              <w:spacing w:line="360" w:lineRule="auto"/>
              <w:jc w:val="center"/>
              <w:rPr>
                <w:color w:val="000000"/>
                <w:sz w:val="21"/>
                <w:szCs w:val="21"/>
              </w:rPr>
            </w:pPr>
            <w:r>
              <w:rPr>
                <w:rFonts w:hint="eastAsia"/>
                <w:color w:val="000000"/>
                <w:sz w:val="21"/>
                <w:szCs w:val="21"/>
              </w:rPr>
              <w:t>4</w:t>
            </w:r>
          </w:p>
        </w:tc>
        <w:tc>
          <w:tcPr>
            <w:tcW w:w="4160" w:type="dxa"/>
            <w:vAlign w:val="center"/>
          </w:tcPr>
          <w:p>
            <w:pPr>
              <w:snapToGrid w:val="0"/>
              <w:spacing w:line="360" w:lineRule="auto"/>
              <w:jc w:val="center"/>
              <w:rPr>
                <w:color w:val="000000"/>
                <w:sz w:val="21"/>
                <w:szCs w:val="21"/>
              </w:rPr>
            </w:pPr>
            <w:r>
              <w:rPr>
                <w:rFonts w:hint="eastAsia"/>
                <w:color w:val="000000"/>
                <w:sz w:val="21"/>
                <w:szCs w:val="21"/>
              </w:rPr>
              <w:t>设计风压</w:t>
            </w:r>
          </w:p>
        </w:tc>
        <w:tc>
          <w:tcPr>
            <w:tcW w:w="854" w:type="dxa"/>
            <w:vAlign w:val="center"/>
          </w:tcPr>
          <w:p>
            <w:pPr>
              <w:snapToGrid w:val="0"/>
              <w:spacing w:line="360" w:lineRule="auto"/>
              <w:jc w:val="center"/>
              <w:rPr>
                <w:color w:val="000000"/>
                <w:sz w:val="21"/>
                <w:szCs w:val="21"/>
              </w:rPr>
            </w:pPr>
            <w:r>
              <w:rPr>
                <w:rFonts w:hint="eastAsia"/>
                <w:szCs w:val="21"/>
              </w:rPr>
              <w:t>K</w:t>
            </w:r>
            <w:r>
              <w:rPr>
                <w:szCs w:val="21"/>
              </w:rPr>
              <w:t>Pa</w:t>
            </w:r>
          </w:p>
        </w:tc>
        <w:tc>
          <w:tcPr>
            <w:tcW w:w="2495" w:type="dxa"/>
            <w:vAlign w:val="center"/>
          </w:tcPr>
          <w:p>
            <w:pPr>
              <w:snapToGrid w:val="0"/>
              <w:spacing w:line="360" w:lineRule="auto"/>
              <w:jc w:val="center"/>
              <w:rPr>
                <w:color w:val="000000"/>
                <w:sz w:val="21"/>
                <w:szCs w:val="21"/>
              </w:rPr>
            </w:pPr>
            <w:r>
              <w:rPr>
                <w:color w:val="000000"/>
                <w:sz w:val="21"/>
                <w:szCs w:val="21"/>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07" w:type="dxa"/>
            <w:vAlign w:val="center"/>
          </w:tcPr>
          <w:p>
            <w:pPr>
              <w:snapToGrid w:val="0"/>
              <w:spacing w:line="360" w:lineRule="auto"/>
              <w:jc w:val="center"/>
              <w:rPr>
                <w:color w:val="000000"/>
                <w:sz w:val="21"/>
                <w:szCs w:val="21"/>
              </w:rPr>
            </w:pPr>
            <w:r>
              <w:rPr>
                <w:rFonts w:hint="eastAsia"/>
                <w:color w:val="000000"/>
                <w:sz w:val="21"/>
                <w:szCs w:val="21"/>
              </w:rPr>
              <w:t>5</w:t>
            </w:r>
          </w:p>
        </w:tc>
        <w:tc>
          <w:tcPr>
            <w:tcW w:w="4160" w:type="dxa"/>
            <w:vAlign w:val="center"/>
          </w:tcPr>
          <w:p>
            <w:pPr>
              <w:snapToGrid w:val="0"/>
              <w:spacing w:line="360" w:lineRule="auto"/>
              <w:jc w:val="center"/>
              <w:rPr>
                <w:color w:val="000000"/>
                <w:sz w:val="21"/>
                <w:szCs w:val="21"/>
              </w:rPr>
            </w:pPr>
            <w:r>
              <w:rPr>
                <w:rFonts w:hint="eastAsia"/>
                <w:color w:val="000000"/>
                <w:sz w:val="21"/>
                <w:szCs w:val="21"/>
              </w:rPr>
              <w:t>电机功率</w:t>
            </w:r>
          </w:p>
        </w:tc>
        <w:tc>
          <w:tcPr>
            <w:tcW w:w="854" w:type="dxa"/>
            <w:vAlign w:val="center"/>
          </w:tcPr>
          <w:p>
            <w:pPr>
              <w:snapToGrid w:val="0"/>
              <w:spacing w:line="360" w:lineRule="auto"/>
              <w:jc w:val="center"/>
              <w:rPr>
                <w:color w:val="000000"/>
                <w:sz w:val="21"/>
                <w:szCs w:val="21"/>
              </w:rPr>
            </w:pPr>
            <w:r>
              <w:rPr>
                <w:color w:val="000000"/>
                <w:sz w:val="21"/>
                <w:szCs w:val="21"/>
              </w:rPr>
              <w:t>KW</w:t>
            </w:r>
          </w:p>
        </w:tc>
        <w:tc>
          <w:tcPr>
            <w:tcW w:w="2495" w:type="dxa"/>
            <w:vAlign w:val="center"/>
          </w:tcPr>
          <w:p>
            <w:pPr>
              <w:snapToGrid w:val="0"/>
              <w:spacing w:line="360" w:lineRule="auto"/>
              <w:jc w:val="center"/>
              <w:rPr>
                <w:color w:val="000000"/>
                <w:sz w:val="21"/>
                <w:szCs w:val="21"/>
              </w:rPr>
            </w:pPr>
            <w:r>
              <w:rPr>
                <w:color w:val="000000"/>
                <w:sz w:val="21"/>
                <w:szCs w:val="21"/>
              </w:rPr>
              <w:t>7.5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07" w:type="dxa"/>
            <w:vAlign w:val="center"/>
          </w:tcPr>
          <w:p>
            <w:pPr>
              <w:snapToGrid w:val="0"/>
              <w:spacing w:line="360" w:lineRule="auto"/>
              <w:jc w:val="center"/>
              <w:rPr>
                <w:color w:val="000000"/>
                <w:sz w:val="21"/>
                <w:szCs w:val="21"/>
              </w:rPr>
            </w:pPr>
            <w:r>
              <w:rPr>
                <w:rFonts w:hint="eastAsia"/>
                <w:color w:val="000000"/>
                <w:sz w:val="21"/>
                <w:szCs w:val="21"/>
              </w:rPr>
              <w:t>6</w:t>
            </w:r>
          </w:p>
        </w:tc>
        <w:tc>
          <w:tcPr>
            <w:tcW w:w="4160" w:type="dxa"/>
            <w:vAlign w:val="center"/>
          </w:tcPr>
          <w:p>
            <w:pPr>
              <w:snapToGrid w:val="0"/>
              <w:spacing w:line="360" w:lineRule="auto"/>
              <w:jc w:val="center"/>
              <w:rPr>
                <w:color w:val="000000"/>
                <w:sz w:val="21"/>
                <w:szCs w:val="21"/>
              </w:rPr>
            </w:pPr>
            <w:r>
              <w:rPr>
                <w:rFonts w:hint="eastAsia"/>
                <w:color w:val="000000"/>
                <w:sz w:val="21"/>
                <w:szCs w:val="21"/>
              </w:rPr>
              <w:t>一次风机</w:t>
            </w:r>
            <w:r>
              <w:rPr>
                <w:color w:val="000000"/>
                <w:sz w:val="21"/>
                <w:szCs w:val="21"/>
              </w:rPr>
              <w:t>型号</w:t>
            </w:r>
          </w:p>
        </w:tc>
        <w:tc>
          <w:tcPr>
            <w:tcW w:w="3349" w:type="dxa"/>
            <w:gridSpan w:val="2"/>
            <w:vAlign w:val="center"/>
          </w:tcPr>
          <w:p>
            <w:pPr>
              <w:snapToGrid w:val="0"/>
              <w:spacing w:line="360" w:lineRule="auto"/>
              <w:jc w:val="center"/>
              <w:rPr>
                <w:color w:val="000000"/>
                <w:sz w:val="21"/>
                <w:szCs w:val="21"/>
              </w:rPr>
            </w:pPr>
            <w:r>
              <w:rPr>
                <w:rFonts w:ascii="Times New Roman" w:hAnsi="Times New Roman"/>
                <w:szCs w:val="24"/>
              </w:rPr>
              <w:t>AGX260-6CNO19.4F</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07" w:type="dxa"/>
            <w:vAlign w:val="center"/>
          </w:tcPr>
          <w:p>
            <w:pPr>
              <w:snapToGrid w:val="0"/>
              <w:spacing w:line="360" w:lineRule="auto"/>
              <w:jc w:val="center"/>
              <w:rPr>
                <w:color w:val="000000"/>
                <w:sz w:val="21"/>
                <w:szCs w:val="21"/>
              </w:rPr>
            </w:pPr>
            <w:r>
              <w:rPr>
                <w:rFonts w:hint="eastAsia"/>
                <w:color w:val="000000"/>
                <w:sz w:val="21"/>
                <w:szCs w:val="21"/>
              </w:rPr>
              <w:t>7</w:t>
            </w:r>
          </w:p>
        </w:tc>
        <w:tc>
          <w:tcPr>
            <w:tcW w:w="4160" w:type="dxa"/>
            <w:vAlign w:val="center"/>
          </w:tcPr>
          <w:p>
            <w:pPr>
              <w:snapToGrid w:val="0"/>
              <w:spacing w:line="360" w:lineRule="auto"/>
              <w:jc w:val="center"/>
              <w:rPr>
                <w:color w:val="000000"/>
                <w:sz w:val="21"/>
                <w:szCs w:val="21"/>
                <w:lang w:eastAsia="zh-CN"/>
              </w:rPr>
            </w:pPr>
            <w:r>
              <w:rPr>
                <w:rFonts w:hint="eastAsia"/>
                <w:color w:val="000000"/>
                <w:sz w:val="21"/>
                <w:szCs w:val="21"/>
                <w:lang w:eastAsia="zh-CN"/>
              </w:rPr>
              <w:t>每台锅炉配置风机台数</w:t>
            </w:r>
          </w:p>
        </w:tc>
        <w:tc>
          <w:tcPr>
            <w:tcW w:w="854" w:type="dxa"/>
            <w:vAlign w:val="center"/>
          </w:tcPr>
          <w:p>
            <w:pPr>
              <w:snapToGrid w:val="0"/>
              <w:spacing w:line="360" w:lineRule="auto"/>
              <w:jc w:val="center"/>
              <w:rPr>
                <w:color w:val="000000"/>
                <w:sz w:val="21"/>
                <w:szCs w:val="21"/>
              </w:rPr>
            </w:pPr>
            <w:r>
              <w:rPr>
                <w:rFonts w:hint="eastAsia"/>
                <w:color w:val="000000"/>
                <w:sz w:val="21"/>
                <w:szCs w:val="21"/>
              </w:rPr>
              <w:t>台</w:t>
            </w:r>
          </w:p>
        </w:tc>
        <w:tc>
          <w:tcPr>
            <w:tcW w:w="2495" w:type="dxa"/>
            <w:vAlign w:val="center"/>
          </w:tcPr>
          <w:p>
            <w:pPr>
              <w:snapToGrid w:val="0"/>
              <w:spacing w:line="360" w:lineRule="auto"/>
              <w:jc w:val="center"/>
              <w:rPr>
                <w:color w:val="000000"/>
                <w:sz w:val="21"/>
                <w:szCs w:val="21"/>
              </w:rPr>
            </w:pPr>
            <w:r>
              <w:rPr>
                <w:color w:val="000000"/>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07" w:type="dxa"/>
            <w:vAlign w:val="center"/>
          </w:tcPr>
          <w:p>
            <w:pPr>
              <w:snapToGrid w:val="0"/>
              <w:spacing w:line="360" w:lineRule="auto"/>
              <w:jc w:val="center"/>
              <w:rPr>
                <w:color w:val="000000"/>
                <w:sz w:val="21"/>
                <w:szCs w:val="21"/>
              </w:rPr>
            </w:pPr>
            <w:r>
              <w:rPr>
                <w:rFonts w:hint="eastAsia"/>
                <w:color w:val="000000"/>
                <w:sz w:val="21"/>
                <w:szCs w:val="21"/>
              </w:rPr>
              <w:t>8</w:t>
            </w:r>
          </w:p>
        </w:tc>
        <w:tc>
          <w:tcPr>
            <w:tcW w:w="4160" w:type="dxa"/>
            <w:vAlign w:val="center"/>
          </w:tcPr>
          <w:p>
            <w:pPr>
              <w:spacing w:line="360" w:lineRule="auto"/>
              <w:jc w:val="center"/>
              <w:rPr>
                <w:szCs w:val="21"/>
              </w:rPr>
            </w:pPr>
            <w:r>
              <w:rPr>
                <w:rFonts w:hint="eastAsia"/>
                <w:szCs w:val="21"/>
              </w:rPr>
              <w:t>设计流量</w:t>
            </w:r>
          </w:p>
        </w:tc>
        <w:tc>
          <w:tcPr>
            <w:tcW w:w="854" w:type="dxa"/>
            <w:vAlign w:val="center"/>
          </w:tcPr>
          <w:p>
            <w:pPr>
              <w:snapToGrid w:val="0"/>
              <w:spacing w:line="360" w:lineRule="auto"/>
              <w:jc w:val="center"/>
              <w:rPr>
                <w:color w:val="000000"/>
                <w:sz w:val="21"/>
                <w:szCs w:val="21"/>
              </w:rPr>
            </w:pPr>
            <w:r>
              <w:rPr>
                <w:rFonts w:hint="eastAsia"/>
                <w:color w:val="000000"/>
              </w:rPr>
              <w:t>m³/h</w:t>
            </w:r>
          </w:p>
        </w:tc>
        <w:tc>
          <w:tcPr>
            <w:tcW w:w="2495" w:type="dxa"/>
            <w:vAlign w:val="center"/>
          </w:tcPr>
          <w:p>
            <w:pPr>
              <w:snapToGrid w:val="0"/>
              <w:spacing w:line="360" w:lineRule="auto"/>
              <w:jc w:val="center"/>
              <w:rPr>
                <w:color w:val="000000"/>
                <w:sz w:val="21"/>
                <w:szCs w:val="21"/>
              </w:rPr>
            </w:pPr>
            <w:r>
              <w:rPr>
                <w:rFonts w:hint="eastAsia"/>
                <w:color w:val="000000"/>
                <w:szCs w:val="24"/>
              </w:rPr>
              <w:t>143434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07" w:type="dxa"/>
            <w:vAlign w:val="center"/>
          </w:tcPr>
          <w:p>
            <w:pPr>
              <w:snapToGrid w:val="0"/>
              <w:spacing w:line="360" w:lineRule="auto"/>
              <w:jc w:val="center"/>
              <w:rPr>
                <w:color w:val="000000"/>
                <w:sz w:val="21"/>
                <w:szCs w:val="21"/>
              </w:rPr>
            </w:pPr>
            <w:r>
              <w:rPr>
                <w:rFonts w:hint="eastAsia"/>
                <w:color w:val="000000"/>
                <w:sz w:val="21"/>
                <w:szCs w:val="21"/>
              </w:rPr>
              <w:t>9</w:t>
            </w:r>
          </w:p>
        </w:tc>
        <w:tc>
          <w:tcPr>
            <w:tcW w:w="4160" w:type="dxa"/>
            <w:vAlign w:val="center"/>
          </w:tcPr>
          <w:p>
            <w:pPr>
              <w:spacing w:line="360" w:lineRule="auto"/>
              <w:jc w:val="center"/>
              <w:rPr>
                <w:szCs w:val="21"/>
              </w:rPr>
            </w:pPr>
            <w:r>
              <w:rPr>
                <w:rFonts w:hint="eastAsia"/>
                <w:szCs w:val="21"/>
              </w:rPr>
              <w:t>风压</w:t>
            </w:r>
          </w:p>
        </w:tc>
        <w:tc>
          <w:tcPr>
            <w:tcW w:w="854" w:type="dxa"/>
            <w:vAlign w:val="center"/>
          </w:tcPr>
          <w:p>
            <w:pPr>
              <w:snapToGrid w:val="0"/>
              <w:spacing w:line="360" w:lineRule="auto"/>
              <w:jc w:val="center"/>
              <w:rPr>
                <w:color w:val="000000"/>
                <w:sz w:val="21"/>
                <w:szCs w:val="21"/>
              </w:rPr>
            </w:pPr>
            <w:r>
              <w:rPr>
                <w:rFonts w:hint="eastAsia"/>
                <w:szCs w:val="21"/>
              </w:rPr>
              <w:t>K</w:t>
            </w:r>
            <w:r>
              <w:rPr>
                <w:szCs w:val="21"/>
              </w:rPr>
              <w:t>Pa</w:t>
            </w:r>
          </w:p>
        </w:tc>
        <w:tc>
          <w:tcPr>
            <w:tcW w:w="2495" w:type="dxa"/>
            <w:vAlign w:val="center"/>
          </w:tcPr>
          <w:p>
            <w:pPr>
              <w:snapToGrid w:val="0"/>
              <w:spacing w:line="360" w:lineRule="auto"/>
              <w:jc w:val="center"/>
              <w:rPr>
                <w:color w:val="000000"/>
                <w:sz w:val="21"/>
                <w:szCs w:val="21"/>
              </w:rPr>
            </w:pPr>
            <w:r>
              <w:rPr>
                <w:rFonts w:hint="eastAsia"/>
                <w:color w:val="000000"/>
              </w:rPr>
              <w:t>16.616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07" w:type="dxa"/>
            <w:vAlign w:val="center"/>
          </w:tcPr>
          <w:p>
            <w:pPr>
              <w:snapToGrid w:val="0"/>
              <w:spacing w:line="360" w:lineRule="auto"/>
              <w:jc w:val="center"/>
              <w:rPr>
                <w:color w:val="000000"/>
                <w:sz w:val="21"/>
                <w:szCs w:val="21"/>
              </w:rPr>
            </w:pPr>
            <w:r>
              <w:rPr>
                <w:rFonts w:hint="eastAsia"/>
                <w:color w:val="000000"/>
                <w:sz w:val="21"/>
                <w:szCs w:val="21"/>
              </w:rPr>
              <w:t>10</w:t>
            </w:r>
          </w:p>
        </w:tc>
        <w:tc>
          <w:tcPr>
            <w:tcW w:w="4160" w:type="dxa"/>
            <w:vAlign w:val="center"/>
          </w:tcPr>
          <w:p>
            <w:pPr>
              <w:spacing w:line="360" w:lineRule="auto"/>
              <w:jc w:val="center"/>
              <w:rPr>
                <w:szCs w:val="21"/>
              </w:rPr>
            </w:pPr>
            <w:r>
              <w:rPr>
                <w:rFonts w:hint="eastAsia"/>
                <w:szCs w:val="21"/>
              </w:rPr>
              <w:t>电机</w:t>
            </w:r>
            <w:r>
              <w:rPr>
                <w:szCs w:val="21"/>
              </w:rPr>
              <w:t>功率</w:t>
            </w:r>
          </w:p>
        </w:tc>
        <w:tc>
          <w:tcPr>
            <w:tcW w:w="854" w:type="dxa"/>
            <w:vAlign w:val="center"/>
          </w:tcPr>
          <w:p>
            <w:pPr>
              <w:snapToGrid w:val="0"/>
              <w:spacing w:line="360" w:lineRule="auto"/>
              <w:jc w:val="center"/>
              <w:rPr>
                <w:color w:val="000000"/>
                <w:sz w:val="21"/>
                <w:szCs w:val="21"/>
              </w:rPr>
            </w:pPr>
            <w:r>
              <w:rPr>
                <w:color w:val="000000"/>
                <w:sz w:val="21"/>
                <w:szCs w:val="21"/>
              </w:rPr>
              <w:t>KW</w:t>
            </w:r>
          </w:p>
        </w:tc>
        <w:tc>
          <w:tcPr>
            <w:tcW w:w="2495" w:type="dxa"/>
            <w:vAlign w:val="center"/>
          </w:tcPr>
          <w:p>
            <w:pPr>
              <w:snapToGrid w:val="0"/>
              <w:spacing w:line="360" w:lineRule="auto"/>
              <w:jc w:val="center"/>
              <w:rPr>
                <w:color w:val="000000"/>
                <w:sz w:val="21"/>
                <w:szCs w:val="21"/>
              </w:rPr>
            </w:pPr>
            <w:r>
              <w:rPr>
                <w:rFonts w:hint="eastAsia" w:ascii="Times New Roman" w:hAnsi="Times New Roman"/>
                <w:szCs w:val="24"/>
              </w:rPr>
              <w:t>900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07" w:type="dxa"/>
            <w:vAlign w:val="center"/>
          </w:tcPr>
          <w:p>
            <w:pPr>
              <w:snapToGrid w:val="0"/>
              <w:spacing w:line="360" w:lineRule="auto"/>
              <w:jc w:val="center"/>
              <w:rPr>
                <w:color w:val="000000"/>
                <w:sz w:val="21"/>
                <w:szCs w:val="21"/>
              </w:rPr>
            </w:pPr>
            <w:r>
              <w:rPr>
                <w:rFonts w:hint="eastAsia"/>
                <w:color w:val="000000"/>
                <w:sz w:val="21"/>
                <w:szCs w:val="21"/>
              </w:rPr>
              <w:t>11</w:t>
            </w:r>
          </w:p>
        </w:tc>
        <w:tc>
          <w:tcPr>
            <w:tcW w:w="4160" w:type="dxa"/>
            <w:vAlign w:val="center"/>
          </w:tcPr>
          <w:p>
            <w:pPr>
              <w:spacing w:line="360" w:lineRule="auto"/>
              <w:jc w:val="center"/>
              <w:rPr>
                <w:szCs w:val="21"/>
              </w:rPr>
            </w:pPr>
            <w:r>
              <w:rPr>
                <w:rFonts w:hint="eastAsia"/>
                <w:szCs w:val="21"/>
              </w:rPr>
              <w:t>设计流量</w:t>
            </w:r>
          </w:p>
        </w:tc>
        <w:tc>
          <w:tcPr>
            <w:tcW w:w="854" w:type="dxa"/>
            <w:vAlign w:val="center"/>
          </w:tcPr>
          <w:p>
            <w:pPr>
              <w:snapToGrid w:val="0"/>
              <w:spacing w:line="360" w:lineRule="auto"/>
              <w:jc w:val="center"/>
              <w:rPr>
                <w:color w:val="000000"/>
                <w:sz w:val="21"/>
                <w:szCs w:val="21"/>
              </w:rPr>
            </w:pPr>
            <w:r>
              <w:rPr>
                <w:rFonts w:hint="eastAsia"/>
                <w:color w:val="000000"/>
              </w:rPr>
              <w:t>m³/h</w:t>
            </w:r>
          </w:p>
        </w:tc>
        <w:tc>
          <w:tcPr>
            <w:tcW w:w="2495" w:type="dxa"/>
            <w:vAlign w:val="center"/>
          </w:tcPr>
          <w:p>
            <w:pPr>
              <w:snapToGrid w:val="0"/>
              <w:spacing w:line="360" w:lineRule="auto"/>
              <w:jc w:val="center"/>
              <w:rPr>
                <w:color w:val="000000"/>
                <w:sz w:val="21"/>
                <w:szCs w:val="21"/>
              </w:rPr>
            </w:pPr>
            <w:r>
              <w:rPr>
                <w:rFonts w:hint="eastAsia"/>
                <w:color w:val="000000"/>
                <w:szCs w:val="24"/>
              </w:rPr>
              <w:t>143434</w:t>
            </w:r>
          </w:p>
        </w:tc>
      </w:tr>
    </w:tbl>
    <w:p>
      <w:pPr>
        <w:snapToGrid w:val="0"/>
        <w:spacing w:line="360" w:lineRule="auto"/>
        <w:rPr>
          <w:szCs w:val="24"/>
        </w:rPr>
      </w:pPr>
      <w:bookmarkStart w:id="7" w:name="_Toc42495391"/>
    </w:p>
    <w:p>
      <w:pPr>
        <w:snapToGrid w:val="0"/>
        <w:spacing w:line="360" w:lineRule="auto"/>
      </w:pPr>
      <w:r>
        <w:rPr>
          <w:rFonts w:hint="eastAsia"/>
        </w:rPr>
        <w:t>4</w:t>
      </w:r>
      <w:r>
        <w:t xml:space="preserve"> </w:t>
      </w:r>
      <w:r>
        <w:rPr>
          <w:rFonts w:hint="eastAsia"/>
        </w:rPr>
        <w:t>技术要求</w:t>
      </w:r>
      <w:bookmarkEnd w:id="7"/>
    </w:p>
    <w:p>
      <w:pPr>
        <w:tabs>
          <w:tab w:val="left" w:pos="420"/>
        </w:tabs>
        <w:spacing w:line="360" w:lineRule="auto"/>
        <w:rPr>
          <w:szCs w:val="24"/>
          <w:lang w:eastAsia="zh-CN"/>
        </w:rPr>
      </w:pPr>
      <w:r>
        <w:rPr>
          <w:rFonts w:hint="eastAsia"/>
          <w:szCs w:val="24"/>
          <w:lang w:val="en-GB" w:eastAsia="zh-CN"/>
        </w:rPr>
        <w:t>4.1利用现有</w:t>
      </w:r>
      <w:r>
        <w:rPr>
          <w:szCs w:val="24"/>
          <w:lang w:val="en-GB" w:eastAsia="zh-CN"/>
        </w:rPr>
        <w:t>锅炉冷一次风管道</w:t>
      </w:r>
      <w:r>
        <w:rPr>
          <w:rFonts w:hint="eastAsia"/>
          <w:szCs w:val="24"/>
          <w:lang w:val="en-GB" w:eastAsia="zh-CN"/>
        </w:rPr>
        <w:t>及</w:t>
      </w:r>
      <w:r>
        <w:rPr>
          <w:szCs w:val="24"/>
          <w:lang w:val="en-GB" w:eastAsia="zh-CN"/>
        </w:rPr>
        <w:t>火检冷却风管道，</w:t>
      </w:r>
      <w:r>
        <w:rPr>
          <w:rFonts w:hint="eastAsia"/>
          <w:szCs w:val="24"/>
          <w:lang w:val="en-GB" w:eastAsia="zh-CN"/>
        </w:rPr>
        <w:t>通过</w:t>
      </w:r>
      <w:r>
        <w:rPr>
          <w:szCs w:val="24"/>
          <w:lang w:val="en-GB" w:eastAsia="zh-CN"/>
        </w:rPr>
        <w:t>联络管道、</w:t>
      </w:r>
      <w:r>
        <w:rPr>
          <w:rFonts w:hint="eastAsia"/>
          <w:szCs w:val="24"/>
          <w:lang w:val="en-GB" w:eastAsia="zh-CN"/>
        </w:rPr>
        <w:t>隔断门、</w:t>
      </w:r>
      <w:r>
        <w:rPr>
          <w:szCs w:val="24"/>
          <w:lang w:val="en-GB" w:eastAsia="zh-CN"/>
        </w:rPr>
        <w:t>止回阀等，</w:t>
      </w:r>
      <w:r>
        <w:rPr>
          <w:rFonts w:hint="eastAsia"/>
          <w:szCs w:val="24"/>
          <w:lang w:eastAsia="zh-CN"/>
        </w:rPr>
        <w:t>对腾龙芳烃（漳州）有限公司热电厂锅炉火检冷却风源</w:t>
      </w:r>
      <w:r>
        <w:rPr>
          <w:szCs w:val="24"/>
          <w:lang w:eastAsia="zh-CN"/>
        </w:rPr>
        <w:t>进行</w:t>
      </w:r>
      <w:r>
        <w:rPr>
          <w:rFonts w:hint="eastAsia"/>
          <w:szCs w:val="24"/>
          <w:lang w:eastAsia="zh-CN"/>
        </w:rPr>
        <w:t>改造。</w:t>
      </w:r>
    </w:p>
    <w:p>
      <w:pPr>
        <w:tabs>
          <w:tab w:val="left" w:pos="420"/>
        </w:tabs>
        <w:spacing w:line="360" w:lineRule="auto"/>
        <w:rPr>
          <w:bCs/>
          <w:szCs w:val="24"/>
          <w:lang w:eastAsia="zh-CN"/>
        </w:rPr>
      </w:pPr>
      <w:r>
        <w:rPr>
          <w:rFonts w:hint="eastAsia"/>
          <w:bCs/>
          <w:szCs w:val="24"/>
          <w:lang w:eastAsia="zh-CN"/>
        </w:rPr>
        <w:t>4.2 施工前招标方负责隔离需改造风管，投标方负责对锅炉火检风源</w:t>
      </w:r>
      <w:r>
        <w:rPr>
          <w:bCs/>
          <w:szCs w:val="24"/>
          <w:lang w:eastAsia="zh-CN"/>
        </w:rPr>
        <w:t>进行改造，并将</w:t>
      </w:r>
      <w:r>
        <w:rPr>
          <w:rFonts w:hint="eastAsia"/>
          <w:bCs/>
          <w:szCs w:val="24"/>
          <w:lang w:eastAsia="zh-CN"/>
        </w:rPr>
        <w:t>废弃物清运至甲方指定的场地。</w:t>
      </w:r>
    </w:p>
    <w:p>
      <w:pPr>
        <w:tabs>
          <w:tab w:val="left" w:pos="420"/>
        </w:tabs>
        <w:spacing w:line="360" w:lineRule="auto"/>
        <w:rPr>
          <w:bCs/>
          <w:szCs w:val="24"/>
          <w:lang w:eastAsia="zh-CN"/>
        </w:rPr>
      </w:pPr>
      <w:r>
        <w:rPr>
          <w:rFonts w:hint="eastAsia"/>
          <w:szCs w:val="24"/>
          <w:lang w:eastAsia="zh-CN"/>
        </w:rPr>
        <w:t xml:space="preserve">4.3 </w:t>
      </w:r>
      <w:r>
        <w:rPr>
          <w:rFonts w:hint="eastAsia"/>
          <w:color w:val="000000"/>
          <w:lang w:eastAsia="zh-CN"/>
        </w:rPr>
        <w:t>从风道布局</w:t>
      </w:r>
      <w:r>
        <w:rPr>
          <w:color w:val="000000"/>
          <w:lang w:eastAsia="zh-CN"/>
        </w:rPr>
        <w:t>、风门</w:t>
      </w:r>
      <w:r>
        <w:rPr>
          <w:rFonts w:hint="eastAsia"/>
          <w:color w:val="000000"/>
          <w:lang w:eastAsia="zh-CN"/>
        </w:rPr>
        <w:t>等</w:t>
      </w:r>
      <w:r>
        <w:rPr>
          <w:color w:val="000000"/>
          <w:lang w:eastAsia="zh-CN"/>
        </w:rPr>
        <w:t>附件位置及</w:t>
      </w:r>
      <w:r>
        <w:rPr>
          <w:rFonts w:hint="eastAsia"/>
          <w:color w:val="000000"/>
          <w:lang w:eastAsia="zh-CN"/>
        </w:rPr>
        <w:t>热工控制逻辑两方面对系统进行改造，将锅炉冷一次风作为火检冷却风系统的风源，现有火检风机风源可作为备用风源使用。</w:t>
      </w:r>
    </w:p>
    <w:p>
      <w:pPr>
        <w:snapToGrid w:val="0"/>
        <w:spacing w:line="360" w:lineRule="auto"/>
        <w:rPr>
          <w:lang w:eastAsia="zh-CN"/>
        </w:rPr>
      </w:pPr>
      <w:r>
        <w:rPr>
          <w:rFonts w:hint="eastAsia"/>
          <w:lang w:eastAsia="zh-CN"/>
        </w:rPr>
        <w:t>4.</w:t>
      </w:r>
      <w:r>
        <w:rPr>
          <w:lang w:eastAsia="zh-CN"/>
        </w:rPr>
        <w:t>4</w:t>
      </w:r>
      <w:r>
        <w:rPr>
          <w:rFonts w:hint="eastAsia"/>
          <w:lang w:eastAsia="zh-CN"/>
        </w:rPr>
        <w:t xml:space="preserve"> 提供1年所需的随机备品备件（含设备总报价内）和3年所需的推荐备品备件。</w:t>
      </w:r>
    </w:p>
    <w:p>
      <w:pPr>
        <w:tabs>
          <w:tab w:val="left" w:pos="567"/>
        </w:tabs>
        <w:snapToGrid w:val="0"/>
        <w:spacing w:line="360" w:lineRule="auto"/>
        <w:rPr>
          <w:bCs/>
          <w:szCs w:val="24"/>
          <w:lang w:eastAsia="zh-CN"/>
        </w:rPr>
      </w:pPr>
      <w:r>
        <w:rPr>
          <w:bCs/>
          <w:szCs w:val="24"/>
          <w:lang w:eastAsia="zh-CN"/>
        </w:rPr>
        <w:t xml:space="preserve">5  </w:t>
      </w:r>
      <w:r>
        <w:rPr>
          <w:rFonts w:hint="eastAsia"/>
          <w:bCs/>
          <w:szCs w:val="24"/>
          <w:lang w:eastAsia="zh-CN"/>
        </w:rPr>
        <w:t>质量保证、试验及验收</w:t>
      </w:r>
    </w:p>
    <w:p>
      <w:pPr>
        <w:spacing w:line="360" w:lineRule="auto"/>
        <w:rPr>
          <w:lang w:eastAsia="zh-CN"/>
        </w:rPr>
      </w:pPr>
      <w:r>
        <w:rPr>
          <w:rFonts w:hint="eastAsia"/>
          <w:lang w:eastAsia="zh-CN"/>
        </w:rPr>
        <w:t>5.1  质保期从设备投运之日算起12个月，在质保期之内若发生质量问题，投标方在电厂要求的时间内派有经验的技术人员到现场免费修理，直至更换部件或整套体统，质保期则从维修和更换部件、设备性能验收合格之日起重新算起。</w:t>
      </w:r>
    </w:p>
    <w:p>
      <w:pPr>
        <w:spacing w:line="360" w:lineRule="auto"/>
        <w:rPr>
          <w:lang w:eastAsia="zh-CN"/>
        </w:rPr>
      </w:pPr>
      <w:r>
        <w:rPr>
          <w:rFonts w:hint="eastAsia"/>
          <w:lang w:eastAsia="zh-CN"/>
        </w:rPr>
        <w:t>5.2如设备发生故障，投标方在得知消息后2小时给以明确的答复，24小时内赶到现场协助招标方抢修直至设备正常运行，免费提供技术服务。</w:t>
      </w:r>
    </w:p>
    <w:p>
      <w:pPr>
        <w:spacing w:line="360" w:lineRule="auto"/>
        <w:rPr>
          <w:lang w:eastAsia="zh-CN"/>
        </w:rPr>
      </w:pPr>
      <w:r>
        <w:rPr>
          <w:rFonts w:hint="eastAsia"/>
          <w:lang w:eastAsia="zh-CN"/>
        </w:rPr>
        <w:t>5.3 设备发货前应在制造厂进行逐台验收合格后方可发货。</w:t>
      </w:r>
    </w:p>
    <w:p>
      <w:pPr>
        <w:spacing w:line="360" w:lineRule="auto"/>
        <w:rPr>
          <w:lang w:eastAsia="zh-CN"/>
        </w:rPr>
      </w:pPr>
      <w:r>
        <w:rPr>
          <w:rFonts w:hint="eastAsia"/>
          <w:lang w:eastAsia="zh-CN"/>
        </w:rPr>
        <w:t>5.4</w:t>
      </w:r>
      <w:r>
        <w:rPr>
          <w:lang w:eastAsia="zh-CN"/>
        </w:rPr>
        <w:t xml:space="preserve"> </w:t>
      </w:r>
      <w:r>
        <w:rPr>
          <w:rFonts w:hint="eastAsia"/>
          <w:lang w:eastAsia="zh-CN"/>
        </w:rPr>
        <w:t>工厂验收不合格的必须在制造厂返工，再次验收合格后方可发货。</w:t>
      </w:r>
    </w:p>
    <w:p>
      <w:pPr>
        <w:spacing w:line="360" w:lineRule="auto"/>
        <w:rPr>
          <w:lang w:eastAsia="zh-CN"/>
        </w:rPr>
      </w:pPr>
      <w:r>
        <w:rPr>
          <w:rFonts w:hint="eastAsia"/>
          <w:lang w:eastAsia="zh-CN"/>
        </w:rPr>
        <w:t>5.5投标方保证以优惠价格长期供应备品备件。</w:t>
      </w:r>
    </w:p>
    <w:p>
      <w:pPr>
        <w:spacing w:line="360" w:lineRule="auto"/>
        <w:rPr>
          <w:lang w:eastAsia="zh-CN"/>
        </w:rPr>
      </w:pPr>
      <w:r>
        <w:rPr>
          <w:rFonts w:hint="eastAsia"/>
          <w:lang w:eastAsia="zh-CN"/>
        </w:rPr>
        <w:t>5.6 投标方根据需要方要求及时到现场无偿指导设备安装和试运工作。</w:t>
      </w:r>
    </w:p>
    <w:p>
      <w:pPr>
        <w:spacing w:line="360" w:lineRule="auto"/>
        <w:rPr>
          <w:lang w:eastAsia="zh-CN"/>
        </w:rPr>
      </w:pPr>
      <w:bookmarkStart w:id="8" w:name="_Toc204671542"/>
      <w:r>
        <w:rPr>
          <w:rFonts w:hint="eastAsia"/>
          <w:lang w:eastAsia="zh-CN"/>
        </w:rPr>
        <w:t>6  包装及运输</w:t>
      </w:r>
      <w:bookmarkEnd w:id="8"/>
    </w:p>
    <w:p>
      <w:pPr>
        <w:spacing w:line="360" w:lineRule="auto"/>
        <w:rPr>
          <w:snapToGrid w:val="0"/>
          <w:lang w:eastAsia="zh-CN"/>
        </w:rPr>
      </w:pPr>
      <w:r>
        <w:rPr>
          <w:rFonts w:hint="eastAsia"/>
          <w:snapToGrid w:val="0"/>
          <w:lang w:eastAsia="zh-CN"/>
        </w:rPr>
        <w:t xml:space="preserve">6.1 </w:t>
      </w:r>
      <w:r>
        <w:rPr>
          <w:rFonts w:hint="eastAsia"/>
          <w:lang w:eastAsia="zh-CN"/>
        </w:rPr>
        <w:t>设备包装适用于运输，装件均采用包装箱包装，并标上相应的符号后方可发运。</w:t>
      </w:r>
    </w:p>
    <w:p>
      <w:pPr>
        <w:spacing w:line="360" w:lineRule="auto"/>
        <w:rPr>
          <w:snapToGrid w:val="0"/>
          <w:lang w:eastAsia="zh-CN"/>
        </w:rPr>
      </w:pPr>
      <w:r>
        <w:rPr>
          <w:rFonts w:hint="eastAsia"/>
          <w:snapToGrid w:val="0"/>
          <w:lang w:eastAsia="zh-CN"/>
        </w:rPr>
        <w:t>6.2 根据各部件的刚度、装卸要求</w:t>
      </w:r>
      <w:r>
        <w:rPr>
          <w:snapToGrid w:val="0"/>
          <w:lang w:eastAsia="zh-CN"/>
        </w:rPr>
        <w:t>，</w:t>
      </w:r>
      <w:r>
        <w:rPr>
          <w:rFonts w:hint="eastAsia"/>
          <w:lang w:eastAsia="zh-CN"/>
        </w:rPr>
        <w:t>设备运输符合安全要求</w:t>
      </w:r>
      <w:r>
        <w:rPr>
          <w:rFonts w:hint="eastAsia"/>
          <w:snapToGrid w:val="0"/>
          <w:lang w:eastAsia="zh-CN"/>
        </w:rPr>
        <w:t>并采取必要的包装加强措施</w:t>
      </w:r>
      <w:r>
        <w:rPr>
          <w:snapToGrid w:val="0"/>
          <w:lang w:eastAsia="zh-CN"/>
        </w:rPr>
        <w:t>，</w:t>
      </w:r>
      <w:r>
        <w:rPr>
          <w:rFonts w:hint="eastAsia"/>
          <w:snapToGrid w:val="0"/>
          <w:lang w:eastAsia="zh-CN"/>
        </w:rPr>
        <w:t>以保证部件不变形和损坏。</w:t>
      </w:r>
    </w:p>
    <w:p>
      <w:pPr>
        <w:spacing w:line="360" w:lineRule="auto"/>
        <w:rPr>
          <w:snapToGrid w:val="0"/>
          <w:lang w:eastAsia="zh-CN"/>
        </w:rPr>
      </w:pPr>
      <w:r>
        <w:rPr>
          <w:rFonts w:hint="eastAsia"/>
          <w:snapToGrid w:val="0"/>
          <w:lang w:eastAsia="zh-CN"/>
        </w:rPr>
        <w:t>6.</w:t>
      </w:r>
      <w:r>
        <w:rPr>
          <w:snapToGrid w:val="0"/>
          <w:lang w:eastAsia="zh-CN"/>
        </w:rPr>
        <w:t>3</w:t>
      </w:r>
      <w:r>
        <w:rPr>
          <w:rFonts w:hint="eastAsia"/>
          <w:snapToGrid w:val="0"/>
          <w:lang w:eastAsia="zh-CN"/>
        </w:rPr>
        <w:t>设备包装件上有以下标志：</w:t>
      </w:r>
    </w:p>
    <w:p>
      <w:pPr>
        <w:spacing w:line="360" w:lineRule="auto"/>
        <w:rPr>
          <w:snapToGrid w:val="0"/>
          <w:lang w:eastAsia="zh-CN"/>
        </w:rPr>
      </w:pPr>
      <w:r>
        <w:rPr>
          <w:rFonts w:hint="eastAsia"/>
          <w:snapToGrid w:val="0"/>
          <w:lang w:eastAsia="zh-CN"/>
        </w:rPr>
        <w:t>6.</w:t>
      </w:r>
      <w:r>
        <w:rPr>
          <w:snapToGrid w:val="0"/>
          <w:lang w:eastAsia="zh-CN"/>
        </w:rPr>
        <w:t>3</w:t>
      </w:r>
      <w:r>
        <w:rPr>
          <w:rFonts w:hint="eastAsia"/>
          <w:snapToGrid w:val="0"/>
          <w:lang w:eastAsia="zh-CN"/>
        </w:rPr>
        <w:t>.1运输作业标志：包括防潮、防震、放置方向、重心位置、绳索固定部位等。</w:t>
      </w:r>
    </w:p>
    <w:p>
      <w:pPr>
        <w:spacing w:line="360" w:lineRule="auto"/>
        <w:rPr>
          <w:snapToGrid w:val="0"/>
          <w:lang w:eastAsia="zh-CN"/>
        </w:rPr>
      </w:pPr>
      <w:r>
        <w:rPr>
          <w:rFonts w:hint="eastAsia"/>
          <w:snapToGrid w:val="0"/>
          <w:lang w:eastAsia="zh-CN"/>
        </w:rPr>
        <w:t>6.</w:t>
      </w:r>
      <w:r>
        <w:rPr>
          <w:snapToGrid w:val="0"/>
          <w:lang w:eastAsia="zh-CN"/>
        </w:rPr>
        <w:t>3</w:t>
      </w:r>
      <w:r>
        <w:rPr>
          <w:rFonts w:hint="eastAsia"/>
          <w:snapToGrid w:val="0"/>
          <w:lang w:eastAsia="zh-CN"/>
        </w:rPr>
        <w:t>.2发货标志：出厂编号、总分编号、发货站、到货站、体积</w:t>
      </w:r>
      <w:r>
        <w:rPr>
          <w:snapToGrid w:val="0"/>
          <w:lang w:eastAsia="zh-CN"/>
        </w:rPr>
        <w:t>(</w:t>
      </w:r>
      <w:r>
        <w:rPr>
          <w:rFonts w:hint="eastAsia"/>
          <w:snapToGrid w:val="0"/>
          <w:lang w:eastAsia="zh-CN"/>
        </w:rPr>
        <w:t>长×宽×高</w:t>
      </w:r>
      <w:r>
        <w:rPr>
          <w:snapToGrid w:val="0"/>
          <w:lang w:eastAsia="zh-CN"/>
        </w:rPr>
        <w:t>)</w:t>
      </w:r>
      <w:r>
        <w:rPr>
          <w:rFonts w:hint="eastAsia"/>
          <w:snapToGrid w:val="0"/>
          <w:lang w:eastAsia="zh-CN"/>
        </w:rPr>
        <w:t>、毛重、净重、设备名称、发货单位、收货单位。</w:t>
      </w:r>
    </w:p>
    <w:p>
      <w:pPr>
        <w:spacing w:line="360" w:lineRule="auto"/>
        <w:rPr>
          <w:lang w:eastAsia="zh-CN"/>
        </w:rPr>
      </w:pPr>
      <w:bookmarkStart w:id="9" w:name="_Toc204671543"/>
      <w:r>
        <w:rPr>
          <w:rFonts w:hint="eastAsia"/>
          <w:lang w:eastAsia="zh-CN"/>
        </w:rPr>
        <w:t>7  验收和保管</w:t>
      </w:r>
      <w:bookmarkEnd w:id="9"/>
    </w:p>
    <w:p>
      <w:pPr>
        <w:spacing w:line="360" w:lineRule="auto"/>
        <w:rPr>
          <w:snapToGrid w:val="0"/>
          <w:lang w:eastAsia="zh-CN"/>
        </w:rPr>
      </w:pPr>
      <w:r>
        <w:rPr>
          <w:rFonts w:hint="eastAsia"/>
          <w:snapToGrid w:val="0"/>
          <w:lang w:eastAsia="zh-CN"/>
        </w:rPr>
        <w:t>7.1</w:t>
      </w:r>
      <w:r>
        <w:rPr>
          <w:snapToGrid w:val="0"/>
          <w:lang w:eastAsia="zh-CN"/>
        </w:rPr>
        <w:t xml:space="preserve"> </w:t>
      </w:r>
      <w:r>
        <w:rPr>
          <w:rFonts w:hint="eastAsia"/>
          <w:snapToGrid w:val="0"/>
          <w:lang w:eastAsia="zh-CN"/>
        </w:rPr>
        <w:t>设备到达安装现场后</w:t>
      </w:r>
      <w:r>
        <w:rPr>
          <w:snapToGrid w:val="0"/>
          <w:lang w:eastAsia="zh-CN"/>
        </w:rPr>
        <w:t>，</w:t>
      </w:r>
      <w:r>
        <w:rPr>
          <w:rFonts w:hint="eastAsia"/>
          <w:snapToGrid w:val="0"/>
          <w:lang w:eastAsia="zh-CN"/>
        </w:rPr>
        <w:t>由招标方通知投标方共同开箱检验</w:t>
      </w:r>
      <w:r>
        <w:rPr>
          <w:snapToGrid w:val="0"/>
          <w:lang w:eastAsia="zh-CN"/>
        </w:rPr>
        <w:t>，</w:t>
      </w:r>
      <w:r>
        <w:rPr>
          <w:rFonts w:hint="eastAsia"/>
          <w:snapToGrid w:val="0"/>
          <w:lang w:eastAsia="zh-CN"/>
        </w:rPr>
        <w:t>对照装箱单逐件清点</w:t>
      </w:r>
      <w:r>
        <w:rPr>
          <w:snapToGrid w:val="0"/>
          <w:lang w:eastAsia="zh-CN"/>
        </w:rPr>
        <w:t>，</w:t>
      </w:r>
      <w:r>
        <w:rPr>
          <w:rFonts w:hint="eastAsia"/>
          <w:snapToGrid w:val="0"/>
          <w:lang w:eastAsia="zh-CN"/>
        </w:rPr>
        <w:t>进行检查和验收。</w:t>
      </w:r>
    </w:p>
    <w:p>
      <w:pPr>
        <w:spacing w:line="360" w:lineRule="auto"/>
        <w:rPr>
          <w:snapToGrid w:val="0"/>
          <w:lang w:eastAsia="zh-CN"/>
        </w:rPr>
      </w:pPr>
      <w:r>
        <w:rPr>
          <w:rFonts w:hint="eastAsia"/>
          <w:snapToGrid w:val="0"/>
          <w:lang w:eastAsia="zh-CN"/>
        </w:rPr>
        <w:t>7.2</w:t>
      </w:r>
      <w:r>
        <w:rPr>
          <w:snapToGrid w:val="0"/>
          <w:lang w:eastAsia="zh-CN"/>
        </w:rPr>
        <w:t xml:space="preserve"> </w:t>
      </w:r>
      <w:r>
        <w:rPr>
          <w:rFonts w:hint="eastAsia"/>
          <w:snapToGrid w:val="0"/>
          <w:lang w:eastAsia="zh-CN"/>
        </w:rPr>
        <w:t>设备到达安装现场后</w:t>
      </w:r>
      <w:r>
        <w:rPr>
          <w:snapToGrid w:val="0"/>
          <w:lang w:eastAsia="zh-CN"/>
        </w:rPr>
        <w:t>，</w:t>
      </w:r>
      <w:r>
        <w:rPr>
          <w:rFonts w:hint="eastAsia"/>
          <w:snapToGrid w:val="0"/>
          <w:lang w:eastAsia="zh-CN"/>
        </w:rPr>
        <w:t>如投标方有特殊要求</w:t>
      </w:r>
      <w:r>
        <w:rPr>
          <w:snapToGrid w:val="0"/>
          <w:lang w:eastAsia="zh-CN"/>
        </w:rPr>
        <w:t>，</w:t>
      </w:r>
      <w:r>
        <w:rPr>
          <w:rFonts w:hint="eastAsia"/>
          <w:snapToGrid w:val="0"/>
          <w:lang w:eastAsia="zh-CN"/>
        </w:rPr>
        <w:t>向招标方及早提出。</w:t>
      </w:r>
    </w:p>
    <w:p>
      <w:pPr>
        <w:spacing w:line="360" w:lineRule="auto"/>
        <w:rPr>
          <w:b/>
          <w:bCs/>
          <w:lang w:eastAsia="zh-CN"/>
        </w:rPr>
      </w:pPr>
      <w:bookmarkStart w:id="10" w:name="_Toc204671544"/>
      <w:r>
        <w:rPr>
          <w:rFonts w:hint="eastAsia"/>
          <w:b/>
          <w:bCs/>
          <w:lang w:eastAsia="zh-CN"/>
        </w:rPr>
        <w:t>8  其它</w:t>
      </w:r>
      <w:bookmarkEnd w:id="10"/>
    </w:p>
    <w:p>
      <w:pPr>
        <w:spacing w:line="360" w:lineRule="auto"/>
        <w:rPr>
          <w:lang w:eastAsia="zh-CN"/>
        </w:rPr>
      </w:pPr>
      <w:r>
        <w:rPr>
          <w:rFonts w:hint="eastAsia"/>
          <w:lang w:eastAsia="zh-CN"/>
        </w:rPr>
        <w:t>8.1 本技术规范书供货范围如表述内容不一致，按有利于招标方的原则进行</w:t>
      </w:r>
      <w:r>
        <w:rPr>
          <w:lang w:eastAsia="zh-CN"/>
        </w:rPr>
        <w:t>(</w:t>
      </w:r>
      <w:r>
        <w:rPr>
          <w:rFonts w:hint="eastAsia"/>
          <w:lang w:eastAsia="zh-CN"/>
        </w:rPr>
        <w:t>所有双方认可的商务和技术文件</w:t>
      </w:r>
      <w:r>
        <w:rPr>
          <w:lang w:eastAsia="zh-CN"/>
        </w:rPr>
        <w:t>)</w:t>
      </w:r>
      <w:r>
        <w:rPr>
          <w:rFonts w:hint="eastAsia"/>
          <w:lang w:eastAsia="zh-CN"/>
        </w:rPr>
        <w:t>。</w:t>
      </w:r>
    </w:p>
    <w:p>
      <w:pPr>
        <w:spacing w:line="360" w:lineRule="auto"/>
        <w:rPr>
          <w:lang w:eastAsia="zh-CN"/>
        </w:rPr>
      </w:pPr>
      <w:r>
        <w:rPr>
          <w:rFonts w:hint="eastAsia"/>
          <w:lang w:eastAsia="zh-CN"/>
        </w:rPr>
        <w:t>8</w:t>
      </w:r>
      <w:r>
        <w:rPr>
          <w:lang w:eastAsia="zh-CN"/>
        </w:rPr>
        <w:t>.</w:t>
      </w:r>
      <w:r>
        <w:rPr>
          <w:rFonts w:hint="eastAsia"/>
          <w:lang w:eastAsia="zh-CN"/>
        </w:rPr>
        <w:t>2 本次技术澄清文件作为设备技术规范的附件，与技术协议具有同等效用。</w:t>
      </w:r>
    </w:p>
    <w:p>
      <w:pPr>
        <w:spacing w:line="360" w:lineRule="auto"/>
        <w:rPr>
          <w:lang w:eastAsia="zh-CN"/>
        </w:rPr>
      </w:pPr>
      <w:r>
        <w:rPr>
          <w:rFonts w:hint="eastAsia"/>
          <w:lang w:eastAsia="zh-CN"/>
        </w:rPr>
        <w:t>8.3 投标方提供电子版的技术规范书一式两份。</w:t>
      </w:r>
    </w:p>
    <w:p>
      <w:pPr>
        <w:tabs>
          <w:tab w:val="left" w:pos="1065"/>
        </w:tabs>
        <w:overflowPunct w:val="0"/>
        <w:spacing w:line="360" w:lineRule="auto"/>
        <w:jc w:val="both"/>
        <w:rPr>
          <w:rFonts w:cs="Arial"/>
          <w:kern w:val="2"/>
          <w:szCs w:val="24"/>
          <w:lang w:eastAsia="zh-CN"/>
        </w:rPr>
      </w:pPr>
      <w:r>
        <w:rPr>
          <w:rFonts w:hint="eastAsia"/>
          <w:lang w:eastAsia="zh-CN"/>
        </w:rPr>
        <w:t>8.4 未尽事宜，买、卖双方协商解决。</w:t>
      </w:r>
    </w:p>
    <w:p>
      <w:pPr>
        <w:overflowPunct w:val="0"/>
        <w:spacing w:line="360" w:lineRule="auto"/>
        <w:jc w:val="both"/>
        <w:rPr>
          <w:rFonts w:cs="Arial"/>
          <w:b/>
          <w:kern w:val="2"/>
          <w:szCs w:val="24"/>
          <w:lang w:eastAsia="zh-CN"/>
        </w:rPr>
      </w:pPr>
      <w:r>
        <w:rPr>
          <w:rFonts w:hint="eastAsia" w:cs="Arial"/>
          <w:b/>
          <w:kern w:val="2"/>
          <w:szCs w:val="24"/>
          <w:lang w:eastAsia="zh-CN"/>
        </w:rPr>
        <w:t>9 清洁，油漆，包装，装卸，运输与储存</w:t>
      </w:r>
    </w:p>
    <w:p>
      <w:pPr>
        <w:overflowPunct w:val="0"/>
        <w:spacing w:line="360" w:lineRule="auto"/>
        <w:jc w:val="both"/>
        <w:rPr>
          <w:rFonts w:cs="Arial"/>
          <w:kern w:val="2"/>
          <w:szCs w:val="24"/>
          <w:lang w:eastAsia="zh-CN"/>
        </w:rPr>
      </w:pPr>
      <w:r>
        <w:rPr>
          <w:rFonts w:hint="eastAsia" w:cs="Arial"/>
          <w:kern w:val="2"/>
          <w:szCs w:val="24"/>
          <w:lang w:eastAsia="zh-CN"/>
        </w:rPr>
        <w:t>9</w:t>
      </w:r>
      <w:r>
        <w:rPr>
          <w:rFonts w:cs="Arial"/>
          <w:kern w:val="2"/>
          <w:szCs w:val="24"/>
          <w:lang w:eastAsia="zh-CN"/>
        </w:rPr>
        <w:t>.1 设备应适合于运输，除大型结构外所有拆散件均用板条箱或其它包装箱包装并标上相应的符号后再发运。</w:t>
      </w:r>
    </w:p>
    <w:p>
      <w:pPr>
        <w:overflowPunct w:val="0"/>
        <w:spacing w:line="360" w:lineRule="auto"/>
        <w:jc w:val="both"/>
        <w:rPr>
          <w:rFonts w:cs="Arial"/>
          <w:kern w:val="2"/>
          <w:szCs w:val="24"/>
          <w:lang w:eastAsia="zh-CN"/>
        </w:rPr>
      </w:pPr>
      <w:r>
        <w:rPr>
          <w:rFonts w:hint="eastAsia" w:cs="Arial"/>
          <w:kern w:val="2"/>
          <w:szCs w:val="24"/>
          <w:lang w:eastAsia="zh-CN"/>
        </w:rPr>
        <w:t>9</w:t>
      </w:r>
      <w:r>
        <w:rPr>
          <w:rFonts w:cs="Arial"/>
          <w:kern w:val="2"/>
          <w:szCs w:val="24"/>
          <w:lang w:eastAsia="zh-CN"/>
        </w:rPr>
        <w:t>.2 设备在出厂之前，应对设备进行清理。所有杂物，如金属碎片、铁屑、焊渣等一切异物都应从部件内清除。</w:t>
      </w:r>
    </w:p>
    <w:p>
      <w:pPr>
        <w:overflowPunct w:val="0"/>
        <w:spacing w:line="360" w:lineRule="auto"/>
        <w:jc w:val="both"/>
        <w:rPr>
          <w:rFonts w:cs="Arial"/>
          <w:kern w:val="2"/>
          <w:szCs w:val="24"/>
          <w:lang w:eastAsia="zh-CN"/>
        </w:rPr>
      </w:pPr>
      <w:r>
        <w:rPr>
          <w:rFonts w:hint="eastAsia" w:cs="Arial"/>
          <w:kern w:val="2"/>
          <w:szCs w:val="24"/>
          <w:lang w:eastAsia="zh-CN"/>
        </w:rPr>
        <w:t>9</w:t>
      </w:r>
      <w:r>
        <w:rPr>
          <w:rFonts w:cs="Arial"/>
          <w:kern w:val="2"/>
          <w:szCs w:val="24"/>
          <w:lang w:eastAsia="zh-CN"/>
        </w:rPr>
        <w:t>.3 设备包装前应凃防腐漆，以便在运输保管中起防腐作用。</w:t>
      </w:r>
    </w:p>
    <w:p>
      <w:pPr>
        <w:overflowPunct w:val="0"/>
        <w:spacing w:line="360" w:lineRule="auto"/>
        <w:jc w:val="both"/>
        <w:rPr>
          <w:rFonts w:cs="Arial"/>
          <w:kern w:val="2"/>
          <w:szCs w:val="24"/>
          <w:lang w:eastAsia="zh-CN"/>
        </w:rPr>
      </w:pPr>
      <w:r>
        <w:rPr>
          <w:rFonts w:hint="eastAsia" w:cs="Arial"/>
          <w:kern w:val="2"/>
          <w:szCs w:val="24"/>
          <w:lang w:eastAsia="zh-CN"/>
        </w:rPr>
        <w:t>9</w:t>
      </w:r>
      <w:r>
        <w:rPr>
          <w:rFonts w:cs="Arial"/>
          <w:kern w:val="2"/>
          <w:szCs w:val="24"/>
          <w:lang w:eastAsia="zh-CN"/>
        </w:rPr>
        <w:t>.4 所有外露部分应有保护装置，防止在运输和储存期间损坏。</w:t>
      </w:r>
    </w:p>
    <w:p>
      <w:pPr>
        <w:overflowPunct w:val="0"/>
        <w:spacing w:line="360" w:lineRule="auto"/>
        <w:jc w:val="both"/>
        <w:rPr>
          <w:rFonts w:cs="Arial"/>
          <w:kern w:val="2"/>
          <w:szCs w:val="24"/>
          <w:lang w:eastAsia="zh-CN"/>
        </w:rPr>
      </w:pPr>
      <w:r>
        <w:rPr>
          <w:rFonts w:hint="eastAsia" w:cs="Arial"/>
          <w:kern w:val="2"/>
          <w:szCs w:val="24"/>
          <w:lang w:eastAsia="zh-CN"/>
        </w:rPr>
        <w:t>9</w:t>
      </w:r>
      <w:r>
        <w:rPr>
          <w:rFonts w:cs="Arial"/>
          <w:kern w:val="2"/>
          <w:szCs w:val="24"/>
          <w:lang w:eastAsia="zh-CN"/>
        </w:rPr>
        <w:t>.5</w:t>
      </w:r>
      <w:r>
        <w:rPr>
          <w:rFonts w:hint="eastAsia" w:cs="Arial"/>
          <w:kern w:val="2"/>
          <w:szCs w:val="24"/>
          <w:lang w:eastAsia="zh-CN"/>
        </w:rPr>
        <w:t xml:space="preserve"> </w:t>
      </w:r>
      <w:r>
        <w:rPr>
          <w:rFonts w:cs="Arial"/>
          <w:kern w:val="2"/>
          <w:szCs w:val="24"/>
          <w:lang w:eastAsia="zh-CN"/>
        </w:rPr>
        <w:t>设备凡需要油漆的所有部位，在油漆前必须对金属表面按有关技术规定进行清洁处理。对构件表面除锈等级符合GB8923-</w:t>
      </w:r>
      <w:r>
        <w:rPr>
          <w:rFonts w:hint="eastAsia" w:cs="Arial"/>
          <w:kern w:val="2"/>
          <w:szCs w:val="24"/>
          <w:lang w:eastAsia="zh-CN"/>
        </w:rPr>
        <w:t>2008</w:t>
      </w:r>
      <w:r>
        <w:rPr>
          <w:rFonts w:cs="Arial"/>
          <w:kern w:val="2"/>
          <w:szCs w:val="24"/>
          <w:lang w:eastAsia="zh-CN"/>
        </w:rPr>
        <w:t>标准。油漆品种、油漆颜色由招标方确认</w:t>
      </w:r>
      <w:r>
        <w:rPr>
          <w:rFonts w:hint="eastAsia" w:cs="Arial"/>
          <w:kern w:val="2"/>
          <w:szCs w:val="24"/>
          <w:lang w:eastAsia="zh-CN"/>
        </w:rPr>
        <w:t>,外观颜色与原有颜色一致。</w:t>
      </w:r>
    </w:p>
    <w:p>
      <w:pPr>
        <w:overflowPunct w:val="0"/>
        <w:spacing w:line="360" w:lineRule="auto"/>
        <w:jc w:val="both"/>
        <w:rPr>
          <w:rFonts w:cs="Arial"/>
          <w:kern w:val="2"/>
          <w:szCs w:val="24"/>
          <w:lang w:eastAsia="zh-CN"/>
        </w:rPr>
      </w:pPr>
      <w:r>
        <w:rPr>
          <w:rFonts w:hint="eastAsia" w:cs="Arial"/>
          <w:kern w:val="2"/>
          <w:szCs w:val="24"/>
          <w:lang w:eastAsia="zh-CN"/>
        </w:rPr>
        <w:t>9.</w:t>
      </w:r>
      <w:r>
        <w:rPr>
          <w:rFonts w:cs="Arial"/>
          <w:kern w:val="2"/>
          <w:szCs w:val="24"/>
          <w:lang w:eastAsia="zh-CN"/>
        </w:rPr>
        <w:t>6</w:t>
      </w:r>
      <w:r>
        <w:rPr>
          <w:rFonts w:hint="eastAsia" w:cs="Arial"/>
          <w:kern w:val="2"/>
          <w:szCs w:val="24"/>
          <w:lang w:eastAsia="zh-CN"/>
        </w:rPr>
        <w:t xml:space="preserve"> 投标方应保证所提供的产品满足火力发电厂安全、可靠运行的要求，并对合同范围内的加工、制造、试验、运输等过程全面负责。</w:t>
      </w:r>
    </w:p>
    <w:p>
      <w:pPr>
        <w:tabs>
          <w:tab w:val="left" w:pos="567"/>
        </w:tabs>
        <w:overflowPunct w:val="0"/>
        <w:spacing w:line="360" w:lineRule="auto"/>
        <w:jc w:val="both"/>
        <w:rPr>
          <w:rFonts w:cs="Arial"/>
          <w:kern w:val="2"/>
          <w:szCs w:val="24"/>
          <w:lang w:eastAsia="zh-CN"/>
        </w:rPr>
      </w:pPr>
      <w:r>
        <w:rPr>
          <w:rFonts w:hint="eastAsia" w:cs="Arial"/>
          <w:kern w:val="2"/>
          <w:szCs w:val="24"/>
          <w:lang w:eastAsia="zh-CN"/>
        </w:rPr>
        <w:t>9.</w:t>
      </w:r>
      <w:r>
        <w:rPr>
          <w:rFonts w:cs="Arial"/>
          <w:kern w:val="2"/>
          <w:szCs w:val="24"/>
          <w:lang w:eastAsia="zh-CN"/>
        </w:rPr>
        <w:t>7</w:t>
      </w:r>
      <w:r>
        <w:rPr>
          <w:rFonts w:hint="eastAsia" w:cs="Arial"/>
          <w:kern w:val="2"/>
          <w:szCs w:val="24"/>
          <w:lang w:eastAsia="zh-CN"/>
        </w:rPr>
        <w:t xml:space="preserve"> 表面清理：表面处理和油漆前，所有的废物都应从内部清除干净。所有加工过程中的标记及其它有害物质都应从其内部和外表面除去。在进行运输前应对它的内部和外部进行清洁处理，一旦最终清理，必须采用保护措施，防止损坏和腐蚀。</w:t>
      </w:r>
    </w:p>
    <w:p>
      <w:pPr>
        <w:spacing w:line="360" w:lineRule="auto"/>
        <w:rPr>
          <w:szCs w:val="24"/>
          <w:lang w:eastAsia="zh-CN"/>
        </w:rPr>
      </w:pPr>
      <w:r>
        <w:rPr>
          <w:rFonts w:hint="eastAsia"/>
          <w:b/>
          <w:bCs/>
          <w:szCs w:val="24"/>
          <w:lang w:eastAsia="zh-CN"/>
        </w:rPr>
        <w:t>10.双方责任</w:t>
      </w:r>
    </w:p>
    <w:p>
      <w:pPr>
        <w:spacing w:line="360" w:lineRule="auto"/>
        <w:rPr>
          <w:szCs w:val="24"/>
          <w:lang w:eastAsia="zh-CN"/>
        </w:rPr>
      </w:pPr>
      <w:r>
        <w:rPr>
          <w:rFonts w:hint="eastAsia"/>
          <w:szCs w:val="24"/>
          <w:lang w:eastAsia="zh-CN"/>
        </w:rPr>
        <w:t>10.1招标方责任</w:t>
      </w:r>
    </w:p>
    <w:p>
      <w:pPr>
        <w:spacing w:line="360" w:lineRule="auto"/>
        <w:rPr>
          <w:szCs w:val="24"/>
          <w:lang w:eastAsia="zh-CN"/>
        </w:rPr>
      </w:pPr>
      <w:r>
        <w:rPr>
          <w:rFonts w:hint="eastAsia"/>
          <w:szCs w:val="24"/>
          <w:lang w:eastAsia="zh-CN"/>
        </w:rPr>
        <w:t>10.1.1负责协调检修工作票的办理工作。</w:t>
      </w:r>
    </w:p>
    <w:p>
      <w:pPr>
        <w:spacing w:line="360" w:lineRule="auto"/>
        <w:rPr>
          <w:szCs w:val="24"/>
          <w:lang w:eastAsia="zh-CN"/>
        </w:rPr>
      </w:pPr>
      <w:r>
        <w:rPr>
          <w:rFonts w:hint="eastAsia"/>
          <w:szCs w:val="24"/>
          <w:lang w:eastAsia="zh-CN"/>
        </w:rPr>
        <w:t>10.1.2负责施工人员入厂培训和现场安全技术交底。</w:t>
      </w:r>
    </w:p>
    <w:p>
      <w:pPr>
        <w:spacing w:line="360" w:lineRule="auto"/>
        <w:rPr>
          <w:szCs w:val="24"/>
          <w:lang w:eastAsia="zh-CN"/>
        </w:rPr>
      </w:pPr>
      <w:r>
        <w:rPr>
          <w:rFonts w:hint="eastAsia"/>
          <w:szCs w:val="24"/>
          <w:lang w:eastAsia="zh-CN"/>
        </w:rPr>
        <w:t>10.1.3负责组织施工方案的审核批准，并负责组织验收工作。</w:t>
      </w:r>
    </w:p>
    <w:p>
      <w:pPr>
        <w:spacing w:line="360" w:lineRule="auto"/>
        <w:rPr>
          <w:szCs w:val="24"/>
          <w:lang w:eastAsia="zh-CN"/>
        </w:rPr>
      </w:pPr>
      <w:r>
        <w:rPr>
          <w:rFonts w:hint="eastAsia"/>
          <w:szCs w:val="24"/>
          <w:lang w:eastAsia="zh-CN"/>
        </w:rPr>
        <w:t>10.1.4双方商定改造联络的计划、时间、地点和内容。</w:t>
      </w:r>
    </w:p>
    <w:p>
      <w:pPr>
        <w:spacing w:line="360" w:lineRule="auto"/>
        <w:rPr>
          <w:szCs w:val="24"/>
          <w:lang w:eastAsia="zh-CN"/>
        </w:rPr>
      </w:pPr>
      <w:r>
        <w:rPr>
          <w:rFonts w:hint="eastAsia"/>
          <w:szCs w:val="24"/>
          <w:lang w:eastAsia="zh-CN"/>
        </w:rPr>
        <w:t>10.1.5负责提供施工中必要的水、电、气源。</w:t>
      </w:r>
    </w:p>
    <w:p>
      <w:pPr>
        <w:spacing w:line="360" w:lineRule="auto"/>
        <w:rPr>
          <w:szCs w:val="24"/>
          <w:lang w:eastAsia="zh-CN"/>
        </w:rPr>
      </w:pPr>
      <w:r>
        <w:rPr>
          <w:rFonts w:hint="eastAsia"/>
          <w:szCs w:val="24"/>
          <w:lang w:eastAsia="zh-CN"/>
        </w:rPr>
        <w:t>10.2 投标方责任</w:t>
      </w:r>
    </w:p>
    <w:p>
      <w:pPr>
        <w:spacing w:line="360" w:lineRule="auto"/>
        <w:rPr>
          <w:szCs w:val="24"/>
          <w:lang w:eastAsia="zh-CN"/>
        </w:rPr>
      </w:pPr>
      <w:r>
        <w:rPr>
          <w:rFonts w:hint="eastAsia"/>
          <w:szCs w:val="24"/>
          <w:lang w:eastAsia="zh-CN"/>
        </w:rPr>
        <w:t>10.2.1投标方负责本次施工的设计、制作、安装、调试、培训等工作。</w:t>
      </w:r>
    </w:p>
    <w:p>
      <w:pPr>
        <w:spacing w:line="360" w:lineRule="auto"/>
        <w:rPr>
          <w:szCs w:val="24"/>
          <w:lang w:eastAsia="zh-CN"/>
        </w:rPr>
      </w:pPr>
      <w:r>
        <w:rPr>
          <w:rFonts w:hint="eastAsia"/>
          <w:szCs w:val="24"/>
          <w:lang w:eastAsia="zh-CN"/>
        </w:rPr>
        <w:t>10.2.2一切安装辅材、耗材和必要的照明、脚手架</w:t>
      </w:r>
      <w:r>
        <w:rPr>
          <w:szCs w:val="24"/>
          <w:lang w:eastAsia="zh-CN"/>
        </w:rPr>
        <w:t>等</w:t>
      </w:r>
      <w:r>
        <w:rPr>
          <w:rFonts w:hint="eastAsia"/>
          <w:szCs w:val="24"/>
          <w:lang w:eastAsia="zh-CN"/>
        </w:rPr>
        <w:t>。</w:t>
      </w:r>
    </w:p>
    <w:p>
      <w:pPr>
        <w:tabs>
          <w:tab w:val="left" w:pos="2310"/>
        </w:tabs>
        <w:spacing w:line="360" w:lineRule="auto"/>
        <w:rPr>
          <w:szCs w:val="24"/>
          <w:lang w:eastAsia="zh-CN"/>
        </w:rPr>
      </w:pPr>
      <w:r>
        <w:rPr>
          <w:rFonts w:hint="eastAsia"/>
          <w:szCs w:val="24"/>
          <w:lang w:eastAsia="zh-CN"/>
        </w:rPr>
        <w:t>10.2.</w:t>
      </w:r>
      <w:r>
        <w:rPr>
          <w:szCs w:val="24"/>
          <w:lang w:eastAsia="zh-CN"/>
        </w:rPr>
        <w:t>3</w:t>
      </w:r>
      <w:r>
        <w:rPr>
          <w:rFonts w:hint="eastAsia"/>
          <w:szCs w:val="24"/>
          <w:lang w:eastAsia="zh-CN"/>
        </w:rPr>
        <w:t>投标方负责现场施工安装，安装人员在必须具有相应的技术资质，进入现场前必须经过专业技术培训及相应的安全培训。</w:t>
      </w:r>
    </w:p>
    <w:p>
      <w:pPr>
        <w:spacing w:line="360" w:lineRule="auto"/>
        <w:rPr>
          <w:szCs w:val="24"/>
          <w:lang w:eastAsia="zh-CN"/>
        </w:rPr>
      </w:pPr>
      <w:r>
        <w:rPr>
          <w:rFonts w:hint="eastAsia"/>
          <w:szCs w:val="24"/>
          <w:lang w:eastAsia="zh-CN"/>
        </w:rPr>
        <w:t>10.2.</w:t>
      </w:r>
      <w:r>
        <w:rPr>
          <w:szCs w:val="24"/>
          <w:lang w:eastAsia="zh-CN"/>
        </w:rPr>
        <w:t>4</w:t>
      </w:r>
      <w:r>
        <w:rPr>
          <w:rFonts w:hint="eastAsia"/>
          <w:szCs w:val="24"/>
          <w:lang w:eastAsia="zh-CN"/>
        </w:rPr>
        <w:t>投标方按要求提供设备清单、说明书资料。</w:t>
      </w:r>
    </w:p>
    <w:p>
      <w:pPr>
        <w:spacing w:line="360" w:lineRule="auto"/>
        <w:rPr>
          <w:szCs w:val="24"/>
          <w:lang w:eastAsia="zh-CN"/>
        </w:rPr>
      </w:pPr>
      <w:r>
        <w:rPr>
          <w:rFonts w:hint="eastAsia"/>
          <w:szCs w:val="24"/>
          <w:lang w:eastAsia="zh-CN"/>
        </w:rPr>
        <w:t>10.2.</w:t>
      </w:r>
      <w:r>
        <w:rPr>
          <w:szCs w:val="24"/>
          <w:lang w:eastAsia="zh-CN"/>
        </w:rPr>
        <w:t>5</w:t>
      </w:r>
      <w:r>
        <w:rPr>
          <w:rFonts w:hint="eastAsia"/>
          <w:szCs w:val="24"/>
          <w:lang w:eastAsia="zh-CN"/>
        </w:rPr>
        <w:t xml:space="preserve"> 投标方严格遵守招标方的各项规章制度，违反时按相关规定处理。</w:t>
      </w:r>
    </w:p>
    <w:p>
      <w:pPr>
        <w:pStyle w:val="3"/>
        <w:rPr>
          <w:lang w:eastAsia="zh-CN"/>
        </w:rPr>
      </w:pPr>
      <w:r>
        <w:rPr>
          <w:bCs w:val="0"/>
          <w:lang w:eastAsia="zh-CN"/>
        </w:rPr>
        <w:br w:type="page"/>
      </w:r>
      <w:bookmarkStart w:id="11" w:name="_Toc42495395"/>
      <w:bookmarkStart w:id="12" w:name="_Toc357945306"/>
      <w:bookmarkStart w:id="13" w:name="_Toc103591609"/>
      <w:r>
        <w:rPr>
          <w:rFonts w:hint="eastAsia"/>
          <w:lang w:eastAsia="zh-CN"/>
        </w:rPr>
        <w:t xml:space="preserve">附件二  </w:t>
      </w:r>
      <w:bookmarkEnd w:id="11"/>
      <w:bookmarkEnd w:id="12"/>
      <w:r>
        <w:rPr>
          <w:rFonts w:hint="eastAsia"/>
          <w:lang w:eastAsia="zh-CN"/>
        </w:rPr>
        <w:t>设计、施工、供货范围及要求</w:t>
      </w:r>
      <w:bookmarkEnd w:id="13"/>
    </w:p>
    <w:p>
      <w:pPr>
        <w:snapToGrid w:val="0"/>
        <w:spacing w:line="360" w:lineRule="auto"/>
        <w:rPr>
          <w:lang w:eastAsia="zh-CN"/>
        </w:rPr>
      </w:pPr>
      <w:r>
        <w:rPr>
          <w:rFonts w:hint="eastAsia"/>
          <w:lang w:eastAsia="zh-CN"/>
        </w:rPr>
        <w:t>1</w:t>
      </w:r>
      <w:r>
        <w:rPr>
          <w:lang w:eastAsia="zh-CN"/>
        </w:rPr>
        <w:t xml:space="preserve"> </w:t>
      </w:r>
      <w:r>
        <w:rPr>
          <w:rFonts w:hint="eastAsia"/>
          <w:lang w:eastAsia="zh-CN"/>
        </w:rPr>
        <w:t>一般要求</w:t>
      </w:r>
    </w:p>
    <w:p>
      <w:pPr>
        <w:snapToGrid w:val="0"/>
        <w:spacing w:line="360" w:lineRule="auto"/>
        <w:rPr>
          <w:lang w:eastAsia="zh-CN"/>
        </w:rPr>
      </w:pPr>
      <w:r>
        <w:rPr>
          <w:rFonts w:hint="eastAsia"/>
          <w:lang w:eastAsia="zh-CN"/>
        </w:rPr>
        <w:t>1.</w:t>
      </w:r>
      <w:r>
        <w:rPr>
          <w:lang w:eastAsia="zh-CN"/>
        </w:rPr>
        <w:t xml:space="preserve">1 </w:t>
      </w:r>
      <w:r>
        <w:rPr>
          <w:rFonts w:hint="eastAsia"/>
          <w:lang w:eastAsia="zh-CN"/>
        </w:rPr>
        <w:t>本章规定了本次改造所涉及的设计、供货、施工范围及其它要求，投标方保证设计方案为先进的，成熟的；设备为全新的、先进的、成熟的、完整的和安全可靠的，且设备的技术经济性能符合本技术规范的要求。</w:t>
      </w:r>
    </w:p>
    <w:p>
      <w:pPr>
        <w:snapToGrid w:val="0"/>
        <w:spacing w:line="360" w:lineRule="auto"/>
        <w:rPr>
          <w:lang w:eastAsia="zh-CN"/>
        </w:rPr>
      </w:pPr>
      <w:r>
        <w:rPr>
          <w:lang w:eastAsia="zh-CN"/>
        </w:rPr>
        <w:t xml:space="preserve">1.2 </w:t>
      </w:r>
      <w:r>
        <w:rPr>
          <w:rFonts w:hint="eastAsia"/>
          <w:lang w:eastAsia="zh-CN"/>
        </w:rPr>
        <w:t>投标方应提供详细设计方案、施工方案及供货清单，清单中应说明型号、数量、产地、生产厂家等内容。对于属于整套系统运行和施工所必需的部件，即使本规范附件未列出或数目不足，投标方仍须在执行的同时免费补足。</w:t>
      </w:r>
    </w:p>
    <w:p>
      <w:pPr>
        <w:snapToGrid w:val="0"/>
        <w:spacing w:line="360" w:lineRule="auto"/>
        <w:rPr>
          <w:lang w:eastAsia="zh-CN"/>
        </w:rPr>
      </w:pPr>
      <w:r>
        <w:rPr>
          <w:lang w:eastAsia="zh-CN"/>
        </w:rPr>
        <w:t xml:space="preserve">1.3 </w:t>
      </w:r>
      <w:r>
        <w:rPr>
          <w:rFonts w:hint="eastAsia"/>
          <w:lang w:eastAsia="zh-CN"/>
        </w:rPr>
        <w:t>本次</w:t>
      </w:r>
      <w:r>
        <w:rPr>
          <w:lang w:eastAsia="zh-CN"/>
        </w:rPr>
        <w:t>改造</w:t>
      </w:r>
      <w:r>
        <w:rPr>
          <w:rFonts w:hint="eastAsia"/>
          <w:lang w:eastAsia="zh-CN"/>
        </w:rPr>
        <w:t>锅炉</w:t>
      </w:r>
      <w:r>
        <w:rPr>
          <w:lang w:eastAsia="zh-CN"/>
        </w:rPr>
        <w:t>火检风源管为</w:t>
      </w:r>
      <w:r>
        <w:rPr>
          <w:b/>
          <w:lang w:eastAsia="zh-CN"/>
        </w:rPr>
        <w:t>4</w:t>
      </w:r>
      <w:r>
        <w:rPr>
          <w:rFonts w:hint="eastAsia"/>
          <w:b/>
          <w:lang w:eastAsia="zh-CN"/>
        </w:rPr>
        <w:t>套</w:t>
      </w:r>
      <w:r>
        <w:rPr>
          <w:lang w:eastAsia="zh-CN"/>
        </w:rPr>
        <w:t>，</w:t>
      </w:r>
      <w:r>
        <w:rPr>
          <w:rFonts w:hint="eastAsia"/>
          <w:lang w:eastAsia="zh-CN"/>
        </w:rPr>
        <w:t>除有特别注明外，</w:t>
      </w:r>
      <w:r>
        <w:rPr>
          <w:rFonts w:hint="eastAsia"/>
          <w:b/>
          <w:lang w:eastAsia="zh-CN"/>
        </w:rPr>
        <w:t>所列数量均为一套系统所需。</w:t>
      </w:r>
    </w:p>
    <w:p>
      <w:pPr>
        <w:snapToGrid w:val="0"/>
        <w:spacing w:line="360" w:lineRule="auto"/>
        <w:rPr>
          <w:lang w:eastAsia="zh-CN"/>
        </w:rPr>
      </w:pPr>
      <w:r>
        <w:rPr>
          <w:lang w:eastAsia="zh-CN"/>
        </w:rPr>
        <w:t xml:space="preserve">1.4 </w:t>
      </w:r>
      <w:r>
        <w:rPr>
          <w:rFonts w:hint="eastAsia"/>
          <w:lang w:eastAsia="zh-CN"/>
        </w:rPr>
        <w:t>投标方应提供所有安装和检修所需专用工具和消耗材料等，并提供详细供货清单。</w:t>
      </w:r>
    </w:p>
    <w:p>
      <w:pPr>
        <w:snapToGrid w:val="0"/>
        <w:spacing w:line="360" w:lineRule="auto"/>
        <w:rPr>
          <w:lang w:eastAsia="zh-CN"/>
        </w:rPr>
      </w:pPr>
      <w:r>
        <w:rPr>
          <w:lang w:eastAsia="zh-CN"/>
        </w:rPr>
        <w:t>1.5</w:t>
      </w:r>
      <w:r>
        <w:rPr>
          <w:rFonts w:hint="eastAsia"/>
          <w:lang w:eastAsia="zh-CN"/>
        </w:rPr>
        <w:t xml:space="preserve"> 提供随机备品备件，并提供详细清单。</w:t>
      </w:r>
    </w:p>
    <w:p>
      <w:pPr>
        <w:snapToGrid w:val="0"/>
        <w:spacing w:line="360" w:lineRule="auto"/>
        <w:rPr>
          <w:lang w:eastAsia="zh-CN"/>
        </w:rPr>
      </w:pPr>
      <w:r>
        <w:rPr>
          <w:lang w:eastAsia="zh-CN"/>
        </w:rPr>
        <w:t xml:space="preserve">1.6 </w:t>
      </w:r>
      <w:r>
        <w:rPr>
          <w:rFonts w:hint="eastAsia"/>
          <w:lang w:eastAsia="zh-CN"/>
        </w:rPr>
        <w:t>提供所供设备的进口件清单。</w:t>
      </w:r>
    </w:p>
    <w:p>
      <w:pPr>
        <w:snapToGrid w:val="0"/>
        <w:spacing w:line="360" w:lineRule="auto"/>
        <w:rPr>
          <w:lang w:eastAsia="zh-CN"/>
        </w:rPr>
      </w:pPr>
      <w:r>
        <w:rPr>
          <w:lang w:eastAsia="zh-CN"/>
        </w:rPr>
        <w:t xml:space="preserve">1.7 </w:t>
      </w:r>
      <w:r>
        <w:rPr>
          <w:rFonts w:hint="eastAsia"/>
          <w:lang w:eastAsia="zh-CN"/>
        </w:rPr>
        <w:t>投标方提供的技术资料清单。</w:t>
      </w:r>
    </w:p>
    <w:p>
      <w:pPr>
        <w:snapToGrid w:val="0"/>
        <w:spacing w:line="360" w:lineRule="auto"/>
        <w:rPr>
          <w:lang w:eastAsia="zh-CN"/>
        </w:rPr>
      </w:pPr>
      <w:r>
        <w:rPr>
          <w:rFonts w:hint="eastAsia"/>
          <w:lang w:eastAsia="zh-CN"/>
        </w:rPr>
        <w:t>2</w:t>
      </w:r>
      <w:r>
        <w:rPr>
          <w:lang w:eastAsia="zh-CN"/>
        </w:rPr>
        <w:t xml:space="preserve"> </w:t>
      </w:r>
      <w:r>
        <w:rPr>
          <w:rFonts w:hint="eastAsia"/>
          <w:lang w:eastAsia="zh-CN"/>
        </w:rPr>
        <w:t>设计范围</w:t>
      </w:r>
    </w:p>
    <w:p>
      <w:pPr>
        <w:snapToGrid w:val="0"/>
        <w:spacing w:line="360" w:lineRule="auto"/>
        <w:ind w:firstLine="440" w:firstLineChars="200"/>
        <w:rPr>
          <w:lang w:eastAsia="zh-CN"/>
        </w:rPr>
      </w:pPr>
      <w:r>
        <w:rPr>
          <w:rFonts w:hint="eastAsia"/>
          <w:lang w:eastAsia="zh-CN"/>
        </w:rPr>
        <w:t>本工程设计范围为锅炉冷一次风至</w:t>
      </w:r>
      <w:r>
        <w:rPr>
          <w:lang w:eastAsia="zh-CN"/>
        </w:rPr>
        <w:t>原火检冷却风管</w:t>
      </w:r>
      <w:r>
        <w:rPr>
          <w:rFonts w:hint="eastAsia"/>
          <w:lang w:eastAsia="zh-CN"/>
        </w:rPr>
        <w:t>道，包括风源管、隔断门</w:t>
      </w:r>
      <w:r>
        <w:rPr>
          <w:lang w:eastAsia="zh-CN"/>
        </w:rPr>
        <w:t>、止回阀及相关附件</w:t>
      </w:r>
      <w:r>
        <w:rPr>
          <w:rFonts w:hint="eastAsia"/>
          <w:lang w:eastAsia="zh-CN"/>
        </w:rPr>
        <w:t>等</w:t>
      </w:r>
      <w:r>
        <w:rPr>
          <w:lang w:eastAsia="zh-CN"/>
        </w:rPr>
        <w:t>。</w:t>
      </w:r>
    </w:p>
    <w:p>
      <w:pPr>
        <w:snapToGrid w:val="0"/>
        <w:spacing w:line="360" w:lineRule="auto"/>
        <w:rPr>
          <w:lang w:eastAsia="zh-CN"/>
        </w:rPr>
      </w:pPr>
      <w:r>
        <w:rPr>
          <w:rFonts w:hint="eastAsia"/>
          <w:lang w:eastAsia="zh-CN"/>
        </w:rPr>
        <w:t>2.1引用标准及规范</w:t>
      </w:r>
    </w:p>
    <w:p>
      <w:pPr>
        <w:snapToGrid w:val="0"/>
        <w:spacing w:line="360" w:lineRule="auto"/>
        <w:rPr>
          <w:lang w:eastAsia="zh-CN"/>
        </w:rPr>
      </w:pPr>
      <w:r>
        <w:rPr>
          <w:lang w:eastAsia="zh-CN"/>
        </w:rPr>
        <w:t>2.</w:t>
      </w:r>
      <w:r>
        <w:rPr>
          <w:rFonts w:hint="eastAsia"/>
          <w:lang w:eastAsia="zh-CN"/>
        </w:rPr>
        <w:t>1</w:t>
      </w:r>
      <w:r>
        <w:rPr>
          <w:lang w:eastAsia="zh-CN"/>
        </w:rPr>
        <w:t>.1</w:t>
      </w:r>
      <w:r>
        <w:rPr>
          <w:rFonts w:hint="eastAsia"/>
          <w:lang w:eastAsia="zh-CN"/>
        </w:rPr>
        <w:t>《大中型火力发电厂设计规范》(GB 50660-2011)</w:t>
      </w:r>
    </w:p>
    <w:p>
      <w:pPr>
        <w:snapToGrid w:val="0"/>
        <w:spacing w:line="360" w:lineRule="auto"/>
        <w:rPr>
          <w:lang w:eastAsia="zh-CN"/>
        </w:rPr>
      </w:pPr>
      <w:r>
        <w:rPr>
          <w:lang w:eastAsia="zh-CN"/>
        </w:rPr>
        <w:t>2.1.2</w:t>
      </w:r>
      <w:r>
        <w:rPr>
          <w:rFonts w:hint="eastAsia"/>
          <w:lang w:eastAsia="zh-CN"/>
        </w:rPr>
        <w:t>《火力发电厂设计技术规程》(DL5000-2000)</w:t>
      </w:r>
    </w:p>
    <w:p>
      <w:pPr>
        <w:snapToGrid w:val="0"/>
        <w:spacing w:line="360" w:lineRule="auto"/>
        <w:rPr>
          <w:lang w:eastAsia="zh-CN"/>
        </w:rPr>
      </w:pPr>
      <w:r>
        <w:rPr>
          <w:lang w:eastAsia="zh-CN"/>
        </w:rPr>
        <w:t>2.1.3</w:t>
      </w:r>
      <w:r>
        <w:rPr>
          <w:rFonts w:hint="eastAsia"/>
          <w:lang w:eastAsia="zh-CN"/>
        </w:rPr>
        <w:t>《火力发电厂劳动安全和工业卫生设计规程》(DL.5121-2012)</w:t>
      </w:r>
    </w:p>
    <w:p>
      <w:pPr>
        <w:snapToGrid w:val="0"/>
        <w:spacing w:line="360" w:lineRule="auto"/>
        <w:rPr>
          <w:lang w:eastAsia="zh-CN"/>
        </w:rPr>
      </w:pPr>
      <w:r>
        <w:rPr>
          <w:lang w:eastAsia="zh-CN"/>
        </w:rPr>
        <w:t>2.1.4</w:t>
      </w:r>
      <w:r>
        <w:rPr>
          <w:rFonts w:hint="eastAsia"/>
          <w:lang w:eastAsia="zh-CN"/>
        </w:rPr>
        <w:t>《火力发电厂保温油漆技术规范》(DL/T5072-2007)</w:t>
      </w:r>
    </w:p>
    <w:p>
      <w:pPr>
        <w:snapToGrid w:val="0"/>
        <w:spacing w:line="360" w:lineRule="auto"/>
        <w:rPr>
          <w:lang w:eastAsia="zh-CN"/>
        </w:rPr>
      </w:pPr>
      <w:r>
        <w:rPr>
          <w:rFonts w:hint="eastAsia"/>
          <w:lang w:eastAsia="zh-CN"/>
        </w:rPr>
        <w:t>2.1.5管道支吊架第 1 部分技术规范 GB_T_17116~1-2018</w:t>
      </w:r>
    </w:p>
    <w:p>
      <w:pPr>
        <w:snapToGrid w:val="0"/>
        <w:spacing w:line="360" w:lineRule="auto"/>
        <w:rPr>
          <w:lang w:eastAsia="zh-CN"/>
        </w:rPr>
      </w:pPr>
      <w:r>
        <w:rPr>
          <w:lang w:eastAsia="zh-CN"/>
        </w:rPr>
        <w:t>2.1.6</w:t>
      </w:r>
      <w:r>
        <w:rPr>
          <w:rFonts w:hint="eastAsia"/>
          <w:lang w:eastAsia="zh-CN"/>
        </w:rPr>
        <w:t>《火力发电厂焊接技术规程》DLT_869-2018</w:t>
      </w:r>
    </w:p>
    <w:p>
      <w:pPr>
        <w:snapToGrid w:val="0"/>
        <w:spacing w:line="360" w:lineRule="auto"/>
        <w:rPr>
          <w:lang w:eastAsia="zh-CN"/>
        </w:rPr>
      </w:pPr>
      <w:r>
        <w:rPr>
          <w:lang w:eastAsia="zh-CN"/>
        </w:rPr>
        <w:t>2.2</w:t>
      </w:r>
      <w:r>
        <w:rPr>
          <w:rFonts w:hint="eastAsia"/>
          <w:lang w:eastAsia="zh-CN"/>
        </w:rPr>
        <w:t>设计要求</w:t>
      </w:r>
    </w:p>
    <w:p>
      <w:pPr>
        <w:snapToGrid w:val="0"/>
        <w:spacing w:line="360" w:lineRule="auto"/>
        <w:rPr>
          <w:lang w:eastAsia="zh-CN"/>
        </w:rPr>
      </w:pPr>
      <w:r>
        <w:rPr>
          <w:lang w:eastAsia="zh-CN"/>
        </w:rPr>
        <w:t>2</w:t>
      </w:r>
      <w:r>
        <w:rPr>
          <w:rFonts w:hint="eastAsia"/>
          <w:lang w:eastAsia="zh-CN"/>
        </w:rPr>
        <w:t>.1设计方具备电力设计乙级（或以上）资质，或电力工程施工</w:t>
      </w:r>
      <w:r>
        <w:rPr>
          <w:lang w:eastAsia="zh-CN"/>
        </w:rPr>
        <w:t>总承包</w:t>
      </w:r>
      <w:r>
        <w:rPr>
          <w:rFonts w:hint="eastAsia"/>
          <w:lang w:eastAsia="zh-CN"/>
        </w:rPr>
        <w:t>三级（或以上）资质。</w:t>
      </w:r>
    </w:p>
    <w:p>
      <w:pPr>
        <w:snapToGrid w:val="0"/>
        <w:spacing w:line="360" w:lineRule="auto"/>
        <w:rPr>
          <w:lang w:eastAsia="zh-CN"/>
        </w:rPr>
      </w:pPr>
      <w:r>
        <w:rPr>
          <w:lang w:eastAsia="zh-CN"/>
        </w:rPr>
        <w:t>2</w:t>
      </w:r>
      <w:r>
        <w:rPr>
          <w:rFonts w:hint="eastAsia"/>
          <w:lang w:eastAsia="zh-CN"/>
        </w:rPr>
        <w:t>.2设计方根据发包方提供的火检风机</w:t>
      </w:r>
      <w:r>
        <w:rPr>
          <w:lang w:eastAsia="zh-CN"/>
        </w:rPr>
        <w:t>参数及一次风机</w:t>
      </w:r>
      <w:r>
        <w:rPr>
          <w:rFonts w:hint="eastAsia"/>
          <w:lang w:eastAsia="zh-CN"/>
        </w:rPr>
        <w:t>参数，进行火检风源管设计。设计的火检冷却风管道系统及附件符合相关规范要求。</w:t>
      </w:r>
    </w:p>
    <w:p>
      <w:pPr>
        <w:snapToGrid w:val="0"/>
        <w:spacing w:line="360" w:lineRule="auto"/>
        <w:rPr>
          <w:lang w:eastAsia="zh-CN"/>
        </w:rPr>
      </w:pPr>
      <w:r>
        <w:rPr>
          <w:lang w:eastAsia="zh-CN"/>
        </w:rPr>
        <w:t>2</w:t>
      </w:r>
      <w:r>
        <w:rPr>
          <w:rFonts w:hint="eastAsia"/>
          <w:lang w:eastAsia="zh-CN"/>
        </w:rPr>
        <w:t>.3管道设计时，充分考虑工作介质对管道系统的腐蚀与磨损，选用恰当的管材、风门和附件。</w:t>
      </w:r>
    </w:p>
    <w:p>
      <w:pPr>
        <w:snapToGrid w:val="0"/>
        <w:spacing w:line="360" w:lineRule="auto"/>
        <w:rPr>
          <w:lang w:eastAsia="zh-CN"/>
        </w:rPr>
      </w:pPr>
      <w:r>
        <w:rPr>
          <w:lang w:eastAsia="zh-CN"/>
        </w:rPr>
        <w:t>2</w:t>
      </w:r>
      <w:r>
        <w:rPr>
          <w:rFonts w:hint="eastAsia"/>
          <w:lang w:eastAsia="zh-CN"/>
        </w:rPr>
        <w:t>.4投标方按设计规范，合理确定管道系统的设计参数。</w:t>
      </w:r>
    </w:p>
    <w:p>
      <w:pPr>
        <w:snapToGrid w:val="0"/>
        <w:spacing w:line="360" w:lineRule="auto"/>
        <w:rPr>
          <w:lang w:eastAsia="zh-CN"/>
        </w:rPr>
      </w:pPr>
      <w:r>
        <w:rPr>
          <w:lang w:eastAsia="zh-CN"/>
        </w:rPr>
        <w:t>2</w:t>
      </w:r>
      <w:r>
        <w:rPr>
          <w:rFonts w:hint="eastAsia"/>
          <w:lang w:eastAsia="zh-CN"/>
        </w:rPr>
        <w:t>.5本次设计的手动隔断门、</w:t>
      </w:r>
      <w:r>
        <w:rPr>
          <w:lang w:eastAsia="zh-CN"/>
        </w:rPr>
        <w:t>止回阀等</w:t>
      </w:r>
      <w:r>
        <w:rPr>
          <w:rFonts w:hint="eastAsia"/>
          <w:lang w:eastAsia="zh-CN"/>
        </w:rPr>
        <w:t>布置应便于操作及</w:t>
      </w:r>
      <w:r>
        <w:rPr>
          <w:lang w:eastAsia="zh-CN"/>
        </w:rPr>
        <w:t>检修</w:t>
      </w:r>
      <w:r>
        <w:rPr>
          <w:rFonts w:hint="eastAsia"/>
          <w:lang w:eastAsia="zh-CN"/>
        </w:rPr>
        <w:t>。</w:t>
      </w:r>
    </w:p>
    <w:p>
      <w:pPr>
        <w:snapToGrid w:val="0"/>
        <w:spacing w:line="360" w:lineRule="auto"/>
        <w:rPr>
          <w:lang w:eastAsia="zh-CN"/>
        </w:rPr>
      </w:pPr>
      <w:r>
        <w:rPr>
          <w:lang w:eastAsia="zh-CN"/>
        </w:rPr>
        <w:t>2</w:t>
      </w:r>
      <w:r>
        <w:rPr>
          <w:rFonts w:hint="eastAsia"/>
          <w:lang w:eastAsia="zh-CN"/>
        </w:rPr>
        <w:t>.6管道及附件风门的布置必须满足运行维护的要求，并避免与其它设施发生碰撞，需要操作和维修的零部件设在便于操作和维修的地方，不便操作维修处，需要加装平台设计。</w:t>
      </w:r>
    </w:p>
    <w:p>
      <w:pPr>
        <w:snapToGrid w:val="0"/>
        <w:spacing w:line="360" w:lineRule="auto"/>
        <w:rPr>
          <w:lang w:eastAsia="zh-CN"/>
        </w:rPr>
      </w:pPr>
      <w:r>
        <w:rPr>
          <w:lang w:eastAsia="zh-CN"/>
        </w:rPr>
        <w:t>2</w:t>
      </w:r>
      <w:r>
        <w:rPr>
          <w:rFonts w:hint="eastAsia"/>
          <w:lang w:eastAsia="zh-CN"/>
        </w:rPr>
        <w:t xml:space="preserve">.7 管道布置宜对称，力求层次分明、整齐美观，注意整体性和一致性，不妨碍通行，不影响邻近设备道的操作和维修 </w:t>
      </w:r>
    </w:p>
    <w:p>
      <w:pPr>
        <w:snapToGrid w:val="0"/>
        <w:spacing w:line="360" w:lineRule="auto"/>
        <w:rPr>
          <w:lang w:eastAsia="zh-CN"/>
        </w:rPr>
      </w:pPr>
      <w:r>
        <w:rPr>
          <w:lang w:eastAsia="zh-CN"/>
        </w:rPr>
        <w:t>2</w:t>
      </w:r>
      <w:r>
        <w:rPr>
          <w:rFonts w:hint="eastAsia"/>
          <w:lang w:eastAsia="zh-CN"/>
        </w:rPr>
        <w:t>.8管道系统的布置（包括各种支吊架）能承受各种荷载和应力。设计方对所有主要管道的热和应力进行计算，并确保管道作用在设备上的力和力矩在规定范围之内。</w:t>
      </w:r>
    </w:p>
    <w:p>
      <w:pPr>
        <w:snapToGrid w:val="0"/>
        <w:spacing w:line="360" w:lineRule="auto"/>
        <w:rPr>
          <w:lang w:eastAsia="zh-CN"/>
        </w:rPr>
      </w:pPr>
      <w:r>
        <w:rPr>
          <w:lang w:eastAsia="zh-CN"/>
        </w:rPr>
        <w:t>2</w:t>
      </w:r>
      <w:r>
        <w:rPr>
          <w:rFonts w:hint="eastAsia"/>
          <w:lang w:eastAsia="zh-CN"/>
        </w:rPr>
        <w:t>.9</w:t>
      </w:r>
      <w:r>
        <w:rPr>
          <w:lang w:eastAsia="zh-CN"/>
        </w:rPr>
        <w:t>承包方</w:t>
      </w:r>
      <w:r>
        <w:rPr>
          <w:rFonts w:hint="eastAsia"/>
          <w:lang w:eastAsia="zh-CN"/>
        </w:rPr>
        <w:t>向发包方提供施工图设计文件，施工图</w:t>
      </w:r>
      <w:r>
        <w:rPr>
          <w:lang w:eastAsia="zh-CN"/>
        </w:rPr>
        <w:t>设计完成后由发包方组织</w:t>
      </w:r>
      <w:r>
        <w:rPr>
          <w:rFonts w:hint="eastAsia"/>
          <w:lang w:eastAsia="zh-CN"/>
        </w:rPr>
        <w:t>施工图</w:t>
      </w:r>
      <w:r>
        <w:rPr>
          <w:lang w:eastAsia="zh-CN"/>
        </w:rPr>
        <w:t>设计审查。</w:t>
      </w:r>
    </w:p>
    <w:p>
      <w:pPr>
        <w:snapToGrid w:val="0"/>
        <w:spacing w:line="360" w:lineRule="auto"/>
        <w:rPr>
          <w:lang w:eastAsia="zh-CN"/>
        </w:rPr>
      </w:pPr>
      <w:r>
        <w:rPr>
          <w:lang w:eastAsia="zh-CN"/>
        </w:rPr>
        <w:t>2</w:t>
      </w:r>
      <w:r>
        <w:rPr>
          <w:rFonts w:hint="eastAsia"/>
          <w:lang w:eastAsia="zh-CN"/>
        </w:rPr>
        <w:t>.10</w:t>
      </w:r>
      <w:r>
        <w:rPr>
          <w:lang w:eastAsia="zh-CN"/>
        </w:rPr>
        <w:t>按照电力行业的相关规范和标准，对所有</w:t>
      </w:r>
      <w:r>
        <w:rPr>
          <w:rFonts w:hint="eastAsia"/>
          <w:lang w:eastAsia="zh-CN"/>
        </w:rPr>
        <w:t>≥DN80</w:t>
      </w:r>
      <w:r>
        <w:rPr>
          <w:lang w:eastAsia="zh-CN"/>
        </w:rPr>
        <w:t>管道需出</w:t>
      </w:r>
      <w:r>
        <w:rPr>
          <w:rFonts w:hint="eastAsia"/>
          <w:lang w:eastAsia="zh-CN"/>
        </w:rPr>
        <w:t>布置</w:t>
      </w:r>
      <w:r>
        <w:rPr>
          <w:lang w:eastAsia="zh-CN"/>
        </w:rPr>
        <w:t>图或</w:t>
      </w:r>
      <w:r>
        <w:rPr>
          <w:rFonts w:hint="eastAsia"/>
          <w:lang w:eastAsia="zh-CN"/>
        </w:rPr>
        <w:t>轴测图，系统图</w:t>
      </w:r>
      <w:r>
        <w:rPr>
          <w:lang w:eastAsia="zh-CN"/>
        </w:rPr>
        <w:t>；</w:t>
      </w:r>
      <w:r>
        <w:rPr>
          <w:rFonts w:hint="eastAsia"/>
          <w:lang w:eastAsia="zh-CN"/>
        </w:rPr>
        <w:t>利旧原</w:t>
      </w:r>
      <w:r>
        <w:rPr>
          <w:lang w:eastAsia="zh-CN"/>
        </w:rPr>
        <w:t>仪控部分</w:t>
      </w:r>
      <w:r>
        <w:rPr>
          <w:rFonts w:hint="eastAsia"/>
          <w:lang w:eastAsia="zh-CN"/>
        </w:rPr>
        <w:t>设计图纸</w:t>
      </w:r>
      <w:r>
        <w:rPr>
          <w:lang w:eastAsia="zh-CN"/>
        </w:rPr>
        <w:t>；其它按电力规范要求所需或满足施工要求所需的所有图纸。</w:t>
      </w:r>
    </w:p>
    <w:p>
      <w:pPr>
        <w:snapToGrid w:val="0"/>
        <w:spacing w:line="360" w:lineRule="auto"/>
        <w:rPr>
          <w:lang w:eastAsia="zh-CN"/>
        </w:rPr>
      </w:pPr>
      <w:r>
        <w:rPr>
          <w:lang w:eastAsia="zh-CN"/>
        </w:rPr>
        <w:t>2</w:t>
      </w:r>
      <w:r>
        <w:rPr>
          <w:rFonts w:hint="eastAsia"/>
          <w:lang w:eastAsia="zh-CN"/>
        </w:rPr>
        <w:t>.11</w:t>
      </w:r>
      <w:r>
        <w:rPr>
          <w:lang w:eastAsia="zh-CN"/>
        </w:rPr>
        <w:t>图纸、数据表、索引表和规格书的格式：采用</w:t>
      </w:r>
      <w:r>
        <w:rPr>
          <w:rFonts w:hint="eastAsia"/>
          <w:lang w:eastAsia="zh-CN"/>
        </w:rPr>
        <w:t>电力行业</w:t>
      </w:r>
      <w:r>
        <w:rPr>
          <w:lang w:eastAsia="zh-CN"/>
        </w:rPr>
        <w:t>标准的格式，其内容及深度不但满足</w:t>
      </w:r>
      <w:r>
        <w:rPr>
          <w:rFonts w:hint="eastAsia"/>
          <w:lang w:eastAsia="zh-CN"/>
        </w:rPr>
        <w:t>电力行业</w:t>
      </w:r>
      <w:r>
        <w:rPr>
          <w:lang w:eastAsia="zh-CN"/>
        </w:rPr>
        <w:t>工程设计（达到设备采购条件，施工招标配合提供初设深度工程量清单）和施工图设计的要求，也满足采购、制造和施工的要求。</w:t>
      </w:r>
    </w:p>
    <w:p>
      <w:pPr>
        <w:snapToGrid w:val="0"/>
        <w:spacing w:line="360" w:lineRule="auto"/>
        <w:rPr>
          <w:lang w:eastAsia="zh-CN"/>
        </w:rPr>
      </w:pPr>
      <w:r>
        <w:rPr>
          <w:lang w:eastAsia="zh-CN"/>
        </w:rPr>
        <w:t>2</w:t>
      </w:r>
      <w:r>
        <w:rPr>
          <w:rFonts w:hint="eastAsia"/>
          <w:lang w:eastAsia="zh-CN"/>
        </w:rPr>
        <w:t>.12竣工图的编制:竣工图编制时，竣工图的编制要求、范围及内容深度、图纸分级等按《电力工程竣工图文件编制规定》执行。</w:t>
      </w:r>
    </w:p>
    <w:p>
      <w:pPr>
        <w:snapToGrid w:val="0"/>
        <w:spacing w:line="360" w:lineRule="auto"/>
        <w:rPr>
          <w:lang w:eastAsia="zh-CN"/>
        </w:rPr>
      </w:pPr>
      <w:r>
        <w:rPr>
          <w:rFonts w:hint="eastAsia"/>
          <w:lang w:eastAsia="zh-CN"/>
        </w:rPr>
        <w:t>3 施工范围及要求</w:t>
      </w:r>
    </w:p>
    <w:p>
      <w:pPr>
        <w:snapToGrid w:val="0"/>
        <w:spacing w:line="360" w:lineRule="auto"/>
        <w:rPr>
          <w:lang w:eastAsia="zh-CN"/>
        </w:rPr>
      </w:pPr>
      <w:r>
        <w:rPr>
          <w:rFonts w:hint="eastAsia"/>
          <w:lang w:eastAsia="zh-CN"/>
        </w:rPr>
        <w:t>3</w:t>
      </w:r>
      <w:r>
        <w:rPr>
          <w:lang w:eastAsia="zh-CN"/>
        </w:rPr>
        <w:t>.1</w:t>
      </w:r>
      <w:r>
        <w:rPr>
          <w:rFonts w:hint="eastAsia"/>
          <w:lang w:eastAsia="zh-CN"/>
        </w:rPr>
        <w:t>施工范围：</w:t>
      </w:r>
    </w:p>
    <w:p>
      <w:pPr>
        <w:snapToGrid w:val="0"/>
        <w:spacing w:line="360" w:lineRule="auto"/>
        <w:ind w:firstLine="440" w:firstLineChars="200"/>
        <w:rPr>
          <w:lang w:eastAsia="zh-CN"/>
        </w:rPr>
      </w:pPr>
      <w:r>
        <w:rPr>
          <w:rFonts w:hint="eastAsia"/>
          <w:lang w:eastAsia="zh-CN"/>
        </w:rPr>
        <w:t>设计范围内的所有项目均在施工范围内，含旧设备拆除并运送至招标方指定堆场，管道表面油漆施工。</w:t>
      </w:r>
    </w:p>
    <w:p>
      <w:pPr>
        <w:snapToGrid w:val="0"/>
        <w:spacing w:line="360" w:lineRule="auto"/>
        <w:rPr>
          <w:lang w:eastAsia="zh-CN"/>
        </w:rPr>
      </w:pPr>
      <w:r>
        <w:rPr>
          <w:rFonts w:hint="eastAsia"/>
          <w:lang w:eastAsia="zh-CN"/>
        </w:rPr>
        <w:t>3</w:t>
      </w:r>
      <w:r>
        <w:rPr>
          <w:lang w:eastAsia="zh-CN"/>
        </w:rPr>
        <w:t>.2</w:t>
      </w:r>
      <w:r>
        <w:rPr>
          <w:rFonts w:hint="eastAsia"/>
          <w:lang w:eastAsia="zh-CN"/>
        </w:rPr>
        <w:t>施工要求：</w:t>
      </w:r>
    </w:p>
    <w:p>
      <w:pPr>
        <w:snapToGrid w:val="0"/>
        <w:spacing w:line="360" w:lineRule="auto"/>
        <w:ind w:firstLine="440" w:firstLineChars="200"/>
        <w:rPr>
          <w:lang w:eastAsia="zh-CN"/>
        </w:rPr>
      </w:pPr>
      <w:r>
        <w:rPr>
          <w:rFonts w:hint="eastAsia"/>
          <w:lang w:eastAsia="zh-CN"/>
        </w:rPr>
        <w:t>本工程施工期间，投标方必须严格遵守招标方单位各项规章制度。</w:t>
      </w:r>
    </w:p>
    <w:p>
      <w:pPr>
        <w:spacing w:before="120" w:beforeLines="50" w:after="120" w:afterLines="50" w:line="360" w:lineRule="auto"/>
        <w:outlineLvl w:val="1"/>
        <w:rPr>
          <w:lang w:eastAsia="zh-CN"/>
        </w:rPr>
      </w:pPr>
      <w:bookmarkStart w:id="14" w:name="_Toc186076492"/>
      <w:bookmarkStart w:id="15" w:name="_Toc103591610"/>
      <w:bookmarkStart w:id="16" w:name="_Toc536629194"/>
      <w:r>
        <w:rPr>
          <w:rFonts w:hint="eastAsia"/>
          <w:lang w:eastAsia="zh-CN"/>
        </w:rPr>
        <w:t>3.2.1安全生产措施</w:t>
      </w:r>
      <w:bookmarkEnd w:id="14"/>
      <w:bookmarkEnd w:id="15"/>
      <w:bookmarkEnd w:id="16"/>
    </w:p>
    <w:p>
      <w:pPr>
        <w:spacing w:line="360" w:lineRule="auto"/>
        <w:rPr>
          <w:lang w:eastAsia="zh-CN"/>
        </w:rPr>
      </w:pPr>
      <w:r>
        <w:rPr>
          <w:rFonts w:hint="eastAsia"/>
          <w:lang w:eastAsia="zh-CN"/>
        </w:rPr>
        <w:t>3.2.1.1项目经理和管理人员首先要以身作则，带头遵守国家有关安全生产法律法规，做到不违章指挥；对参加施工的全体人员进行经常性的安全教育，使各级管理人员及全体施工人员真正认识到安全生产的重要性，做到不违章作业。凡入进施工现场的工作人员必须严格遵守有关的《安全技术规程》，自觉遵守各项安全生产的条例法规。</w:t>
      </w:r>
    </w:p>
    <w:p>
      <w:pPr>
        <w:spacing w:line="360" w:lineRule="auto"/>
        <w:rPr>
          <w:lang w:eastAsia="zh-CN"/>
        </w:rPr>
      </w:pPr>
      <w:r>
        <w:rPr>
          <w:rFonts w:hint="eastAsia"/>
          <w:lang w:eastAsia="zh-CN"/>
        </w:rPr>
        <w:t>3.2.1.2凡进入施工现场的人员必须正确戴好安全帽。</w:t>
      </w:r>
    </w:p>
    <w:p>
      <w:pPr>
        <w:spacing w:line="360" w:lineRule="auto"/>
        <w:rPr>
          <w:lang w:eastAsia="zh-CN"/>
        </w:rPr>
      </w:pPr>
      <w:r>
        <w:rPr>
          <w:rFonts w:hint="eastAsia"/>
          <w:lang w:eastAsia="zh-CN"/>
        </w:rPr>
        <w:t>3.2.1.3施工现场出入口处要有醒目的标语、警句提醒进入人员注意安全，对预留洞口要挂网封闭、临边要逐层封闭防护。</w:t>
      </w:r>
    </w:p>
    <w:p>
      <w:pPr>
        <w:spacing w:line="360" w:lineRule="auto"/>
        <w:rPr>
          <w:lang w:eastAsia="zh-CN"/>
        </w:rPr>
      </w:pPr>
      <w:r>
        <w:rPr>
          <w:rFonts w:hint="eastAsia"/>
          <w:lang w:eastAsia="zh-CN"/>
        </w:rPr>
        <w:t>3.2.1.4各种机械设备操作人员均要做到持证上岗，严禁非机械专职人员使用机械。</w:t>
      </w:r>
    </w:p>
    <w:p>
      <w:pPr>
        <w:spacing w:before="120" w:beforeLines="50" w:after="120" w:afterLines="50" w:line="360" w:lineRule="auto"/>
        <w:outlineLvl w:val="1"/>
        <w:rPr>
          <w:lang w:eastAsia="zh-CN"/>
        </w:rPr>
      </w:pPr>
      <w:bookmarkStart w:id="17" w:name="_Toc536629195"/>
      <w:bookmarkStart w:id="18" w:name="_Toc186076493"/>
      <w:bookmarkStart w:id="19" w:name="_Toc103591611"/>
      <w:r>
        <w:rPr>
          <w:rFonts w:hint="eastAsia"/>
          <w:lang w:eastAsia="zh-CN"/>
        </w:rPr>
        <w:t>3.2.2安全用电措施</w:t>
      </w:r>
      <w:bookmarkEnd w:id="17"/>
      <w:bookmarkEnd w:id="18"/>
      <w:bookmarkEnd w:id="19"/>
    </w:p>
    <w:p>
      <w:pPr>
        <w:spacing w:line="360" w:lineRule="auto"/>
        <w:rPr>
          <w:lang w:eastAsia="zh-CN"/>
        </w:rPr>
      </w:pPr>
      <w:r>
        <w:rPr>
          <w:rFonts w:hint="eastAsia"/>
          <w:lang w:eastAsia="zh-CN"/>
        </w:rPr>
        <w:t>3.2.2.1保证正确可靠的接地与接零。</w:t>
      </w:r>
    </w:p>
    <w:p>
      <w:pPr>
        <w:spacing w:line="360" w:lineRule="auto"/>
        <w:rPr>
          <w:lang w:eastAsia="zh-CN"/>
        </w:rPr>
      </w:pPr>
      <w:r>
        <w:rPr>
          <w:rFonts w:hint="eastAsia"/>
          <w:lang w:eastAsia="zh-CN"/>
        </w:rPr>
        <w:t>3.2.2.2电气设备的设置、安装、防护、使用和维修必须符合《施工现场临时用电安全技术规范》JGJ46-2012的要求。</w:t>
      </w:r>
    </w:p>
    <w:p>
      <w:pPr>
        <w:spacing w:line="360" w:lineRule="auto"/>
        <w:rPr>
          <w:lang w:eastAsia="zh-CN"/>
        </w:rPr>
      </w:pPr>
      <w:r>
        <w:rPr>
          <w:rFonts w:hint="eastAsia"/>
          <w:lang w:eastAsia="zh-CN"/>
        </w:rPr>
        <w:t>3.2.2.</w:t>
      </w:r>
      <w:r>
        <w:rPr>
          <w:lang w:eastAsia="zh-CN"/>
        </w:rPr>
        <w:t>3</w:t>
      </w:r>
      <w:r>
        <w:rPr>
          <w:rFonts w:hint="eastAsia"/>
          <w:lang w:eastAsia="zh-CN"/>
        </w:rPr>
        <w:t>合理配置、更换各种保护装置（漏电开关等），对线路和设备的过载、漏电故障进行可靠的保护。</w:t>
      </w:r>
    </w:p>
    <w:p>
      <w:pPr>
        <w:spacing w:line="360" w:lineRule="auto"/>
        <w:rPr>
          <w:lang w:eastAsia="zh-CN"/>
        </w:rPr>
      </w:pPr>
      <w:r>
        <w:rPr>
          <w:rFonts w:hint="eastAsia"/>
          <w:lang w:eastAsia="zh-CN"/>
        </w:rPr>
        <w:t>3.2.2.</w:t>
      </w:r>
      <w:r>
        <w:rPr>
          <w:lang w:eastAsia="zh-CN"/>
        </w:rPr>
        <w:t>4</w:t>
      </w:r>
      <w:r>
        <w:rPr>
          <w:rFonts w:hint="eastAsia"/>
          <w:lang w:eastAsia="zh-CN"/>
        </w:rPr>
        <w:t>在电气装置和线路周围不得堆放易燃易爆和强腐蚀物质。</w:t>
      </w:r>
    </w:p>
    <w:p>
      <w:pPr>
        <w:spacing w:before="120" w:beforeLines="50" w:after="120" w:afterLines="50" w:line="360" w:lineRule="auto"/>
        <w:outlineLvl w:val="1"/>
        <w:rPr>
          <w:lang w:eastAsia="zh-CN"/>
        </w:rPr>
      </w:pPr>
      <w:bookmarkStart w:id="20" w:name="_Toc536629196"/>
      <w:bookmarkStart w:id="21" w:name="_Toc103591612"/>
      <w:bookmarkStart w:id="22" w:name="_Toc186076494"/>
      <w:r>
        <w:rPr>
          <w:rFonts w:hint="eastAsia"/>
          <w:lang w:eastAsia="zh-CN"/>
        </w:rPr>
        <w:t>3.2.3安全防火措施</w:t>
      </w:r>
      <w:bookmarkEnd w:id="20"/>
      <w:bookmarkEnd w:id="21"/>
      <w:bookmarkEnd w:id="22"/>
    </w:p>
    <w:p>
      <w:pPr>
        <w:spacing w:line="360" w:lineRule="auto"/>
        <w:rPr>
          <w:lang w:eastAsia="zh-CN"/>
        </w:rPr>
      </w:pPr>
      <w:r>
        <w:rPr>
          <w:rFonts w:hint="eastAsia"/>
          <w:lang w:eastAsia="zh-CN"/>
        </w:rPr>
        <w:t>3.2.3.1消防工作：坚决贯彻以“预防为主，消防结合”的方针，加强消防教育，提高对安全防火工作的认识。</w:t>
      </w:r>
    </w:p>
    <w:p>
      <w:pPr>
        <w:spacing w:line="360" w:lineRule="auto"/>
        <w:rPr>
          <w:lang w:eastAsia="zh-CN"/>
        </w:rPr>
      </w:pPr>
      <w:r>
        <w:rPr>
          <w:rFonts w:hint="eastAsia"/>
          <w:lang w:eastAsia="zh-CN"/>
        </w:rPr>
        <w:t>3.2.3.2建立健全组织：为加强安全防火工作的管理，项目经理为防火第一责任人，工程安全员负责工地具体的防火工作落实。</w:t>
      </w:r>
    </w:p>
    <w:p>
      <w:pPr>
        <w:spacing w:line="360" w:lineRule="auto"/>
        <w:rPr>
          <w:lang w:eastAsia="zh-CN"/>
        </w:rPr>
      </w:pPr>
      <w:r>
        <w:rPr>
          <w:rFonts w:hint="eastAsia"/>
          <w:lang w:eastAsia="zh-CN"/>
        </w:rPr>
        <w:t>3.2.3.3在临时设施的周转要配有足够数量的泡沫灭火器等消防设施，指派专人负责维护。</w:t>
      </w:r>
    </w:p>
    <w:p>
      <w:pPr>
        <w:spacing w:line="360" w:lineRule="auto"/>
        <w:rPr>
          <w:lang w:eastAsia="zh-CN"/>
        </w:rPr>
      </w:pPr>
      <w:r>
        <w:rPr>
          <w:rFonts w:hint="eastAsia"/>
          <w:lang w:eastAsia="zh-CN"/>
        </w:rPr>
        <w:t>3.2.3.4施工现场的防火管理：施工现场和员工住宿区，严禁烧电炉、煤油炉，施工现场中需要动用电焊及动用火种或存在事故隐患时应严密注意，做到人走电源、气源、火源关掉，有足够的防火措施。</w:t>
      </w:r>
    </w:p>
    <w:p>
      <w:pPr>
        <w:spacing w:line="360" w:lineRule="auto"/>
        <w:rPr>
          <w:lang w:eastAsia="zh-CN"/>
        </w:rPr>
      </w:pPr>
      <w:r>
        <w:rPr>
          <w:rFonts w:hint="eastAsia"/>
          <w:lang w:eastAsia="zh-CN"/>
        </w:rPr>
        <w:t>3.2.3.5监督检查：为确保防火工作落实到实处，经常监督检查。</w:t>
      </w:r>
    </w:p>
    <w:p>
      <w:pPr>
        <w:spacing w:before="120" w:beforeLines="50" w:after="120" w:afterLines="50" w:line="360" w:lineRule="auto"/>
        <w:outlineLvl w:val="1"/>
        <w:rPr>
          <w:lang w:eastAsia="zh-CN"/>
        </w:rPr>
      </w:pPr>
      <w:bookmarkStart w:id="23" w:name="_Toc186076495"/>
      <w:bookmarkStart w:id="24" w:name="_Toc536629197"/>
      <w:bookmarkStart w:id="25" w:name="_Toc103591613"/>
      <w:r>
        <w:rPr>
          <w:rFonts w:hint="eastAsia"/>
          <w:lang w:eastAsia="zh-CN"/>
        </w:rPr>
        <w:t>3.2.4安全目标及责任目标分解</w:t>
      </w:r>
      <w:bookmarkEnd w:id="23"/>
      <w:bookmarkEnd w:id="24"/>
      <w:bookmarkEnd w:id="25"/>
    </w:p>
    <w:p>
      <w:pPr>
        <w:spacing w:line="360" w:lineRule="auto"/>
        <w:rPr>
          <w:lang w:eastAsia="zh-CN"/>
        </w:rPr>
      </w:pPr>
      <w:r>
        <w:rPr>
          <w:rFonts w:hint="eastAsia"/>
          <w:lang w:eastAsia="zh-CN"/>
        </w:rPr>
        <w:t>3.2.4.1</w:t>
      </w:r>
      <w:r>
        <w:rPr>
          <w:lang w:eastAsia="zh-CN"/>
        </w:rPr>
        <w:t xml:space="preserve"> </w:t>
      </w:r>
      <w:r>
        <w:rPr>
          <w:rFonts w:hint="eastAsia"/>
          <w:lang w:eastAsia="zh-CN"/>
        </w:rPr>
        <w:t>零伤害</w:t>
      </w:r>
      <w:r>
        <w:rPr>
          <w:lang w:eastAsia="zh-CN"/>
        </w:rPr>
        <w:t>。</w:t>
      </w:r>
    </w:p>
    <w:p>
      <w:pPr>
        <w:spacing w:line="360" w:lineRule="auto"/>
        <w:rPr>
          <w:lang w:eastAsia="zh-CN"/>
        </w:rPr>
      </w:pPr>
      <w:r>
        <w:rPr>
          <w:rFonts w:hint="eastAsia"/>
          <w:lang w:eastAsia="zh-CN"/>
        </w:rPr>
        <w:t>3.2.4.2无环境污染事件。</w:t>
      </w:r>
    </w:p>
    <w:p>
      <w:pPr>
        <w:spacing w:line="360" w:lineRule="auto"/>
        <w:rPr>
          <w:lang w:eastAsia="zh-CN"/>
        </w:rPr>
      </w:pPr>
      <w:r>
        <w:rPr>
          <w:rFonts w:hint="eastAsia"/>
          <w:lang w:eastAsia="zh-CN"/>
        </w:rPr>
        <w:t>3.2.4.</w:t>
      </w:r>
      <w:r>
        <w:rPr>
          <w:lang w:eastAsia="zh-CN"/>
        </w:rPr>
        <w:t>3</w:t>
      </w:r>
      <w:r>
        <w:rPr>
          <w:rFonts w:hint="eastAsia"/>
          <w:lang w:eastAsia="zh-CN"/>
        </w:rPr>
        <w:t>不发生火情事件。</w:t>
      </w:r>
    </w:p>
    <w:p>
      <w:pPr>
        <w:spacing w:line="360" w:lineRule="auto"/>
        <w:rPr>
          <w:lang w:eastAsia="zh-CN"/>
        </w:rPr>
      </w:pPr>
      <w:r>
        <w:rPr>
          <w:rFonts w:hint="eastAsia"/>
          <w:lang w:eastAsia="zh-CN"/>
        </w:rPr>
        <w:t>3.2.4.</w:t>
      </w:r>
      <w:r>
        <w:rPr>
          <w:lang w:eastAsia="zh-CN"/>
        </w:rPr>
        <w:t>4</w:t>
      </w:r>
      <w:r>
        <w:rPr>
          <w:rFonts w:hint="eastAsia"/>
          <w:lang w:eastAsia="zh-CN"/>
        </w:rPr>
        <w:t>无违反《安全生产十大禁令》事件。</w:t>
      </w:r>
    </w:p>
    <w:p>
      <w:pPr>
        <w:spacing w:before="120" w:beforeLines="50" w:after="120" w:afterLines="50" w:line="360" w:lineRule="auto"/>
        <w:outlineLvl w:val="1"/>
        <w:rPr>
          <w:lang w:eastAsia="zh-CN"/>
        </w:rPr>
      </w:pPr>
      <w:bookmarkStart w:id="26" w:name="_Toc536629198"/>
      <w:bookmarkStart w:id="27" w:name="_Toc186076496"/>
      <w:bookmarkStart w:id="28" w:name="_Toc103591614"/>
      <w:r>
        <w:rPr>
          <w:rFonts w:hint="eastAsia"/>
          <w:lang w:eastAsia="zh-CN"/>
        </w:rPr>
        <w:t>3.2.5安全组织保证体系</w:t>
      </w:r>
      <w:bookmarkEnd w:id="26"/>
      <w:bookmarkEnd w:id="27"/>
      <w:bookmarkEnd w:id="28"/>
    </w:p>
    <w:p>
      <w:pPr>
        <w:spacing w:line="360" w:lineRule="auto"/>
        <w:ind w:firstLine="440" w:firstLineChars="200"/>
        <w:rPr>
          <w:lang w:eastAsia="zh-CN"/>
        </w:rPr>
      </w:pPr>
      <w:r>
        <w:rPr>
          <w:rFonts w:hint="eastAsia"/>
          <w:lang w:eastAsia="zh-CN"/>
        </w:rPr>
        <w:t>根据“安全生产、人人有责”的原则，明确各领导、职能部门和各类人员在生产活动中应负的安全职责，以确保施工顺利进行。项目部配置专职安全员，对施工安全生产进行监督和检查。</w:t>
      </w:r>
    </w:p>
    <w:p>
      <w:pPr>
        <w:spacing w:before="120" w:beforeLines="50" w:after="120" w:afterLines="50" w:line="360" w:lineRule="auto"/>
        <w:outlineLvl w:val="1"/>
        <w:rPr>
          <w:lang w:eastAsia="zh-CN"/>
        </w:rPr>
      </w:pPr>
      <w:bookmarkStart w:id="29" w:name="_Toc103591615"/>
      <w:bookmarkStart w:id="30" w:name="_Toc536629199"/>
      <w:r>
        <w:rPr>
          <w:rFonts w:hint="eastAsia"/>
          <w:lang w:eastAsia="zh-CN"/>
        </w:rPr>
        <w:t>3.2.6安全生产教育与培训制度</w:t>
      </w:r>
      <w:bookmarkEnd w:id="29"/>
      <w:bookmarkEnd w:id="30"/>
    </w:p>
    <w:p>
      <w:pPr>
        <w:spacing w:line="360" w:lineRule="auto"/>
        <w:ind w:firstLine="440" w:firstLineChars="200"/>
        <w:rPr>
          <w:lang w:eastAsia="zh-CN"/>
        </w:rPr>
      </w:pPr>
      <w:r>
        <w:rPr>
          <w:rFonts w:hint="eastAsia"/>
          <w:lang w:eastAsia="zh-CN"/>
        </w:rPr>
        <w:t>加强对进场工人的三安全教育，实行培训考核上岗，建立培训档案制度。</w:t>
      </w:r>
    </w:p>
    <w:p>
      <w:pPr>
        <w:spacing w:before="120" w:beforeLines="50" w:after="120" w:afterLines="50" w:line="360" w:lineRule="auto"/>
        <w:outlineLvl w:val="1"/>
        <w:rPr>
          <w:lang w:eastAsia="zh-CN"/>
        </w:rPr>
      </w:pPr>
      <w:bookmarkStart w:id="31" w:name="_Toc536629200"/>
      <w:bookmarkStart w:id="32" w:name="_Toc103591616"/>
      <w:r>
        <w:rPr>
          <w:rFonts w:hint="eastAsia"/>
          <w:lang w:eastAsia="zh-CN"/>
        </w:rPr>
        <w:t>3.2.7班前安全活动制度</w:t>
      </w:r>
      <w:bookmarkEnd w:id="31"/>
      <w:bookmarkEnd w:id="32"/>
    </w:p>
    <w:p>
      <w:pPr>
        <w:spacing w:line="360" w:lineRule="auto"/>
        <w:ind w:firstLine="440" w:firstLineChars="200"/>
        <w:rPr>
          <w:lang w:eastAsia="zh-CN"/>
        </w:rPr>
      </w:pPr>
      <w:r>
        <w:rPr>
          <w:rFonts w:hint="eastAsia"/>
          <w:lang w:eastAsia="zh-CN"/>
        </w:rPr>
        <w:t>班前安全活动由班组长主持，在每天工作前进行</w:t>
      </w:r>
      <w:r>
        <w:rPr>
          <w:lang w:eastAsia="zh-CN"/>
        </w:rPr>
        <w:t>5</w:t>
      </w:r>
      <w:r>
        <w:rPr>
          <w:rFonts w:hint="eastAsia"/>
          <w:lang w:eastAsia="zh-CN"/>
        </w:rPr>
        <w:t>～1</w:t>
      </w:r>
      <w:r>
        <w:rPr>
          <w:lang w:eastAsia="zh-CN"/>
        </w:rPr>
        <w:t>0</w:t>
      </w:r>
      <w:r>
        <w:rPr>
          <w:rFonts w:hint="eastAsia"/>
          <w:lang w:eastAsia="zh-CN"/>
        </w:rPr>
        <w:t>分钟班前安全活动。</w:t>
      </w:r>
    </w:p>
    <w:p>
      <w:pPr>
        <w:spacing w:line="360" w:lineRule="auto"/>
        <w:ind w:firstLine="440" w:firstLineChars="200"/>
        <w:rPr>
          <w:lang w:eastAsia="zh-CN"/>
        </w:rPr>
      </w:pPr>
      <w:r>
        <w:rPr>
          <w:rFonts w:hint="eastAsia"/>
          <w:lang w:eastAsia="zh-CN"/>
        </w:rPr>
        <w:t>班前安全活动主要讲述当天工作的安全技术交底或安全注意事项，作业时防护用品和机械设备的正确使用，对于前一天发现隐患如何进行整改。</w:t>
      </w:r>
    </w:p>
    <w:p>
      <w:pPr>
        <w:spacing w:line="360" w:lineRule="auto"/>
        <w:ind w:firstLine="440" w:firstLineChars="200"/>
        <w:rPr>
          <w:lang w:eastAsia="zh-CN"/>
        </w:rPr>
      </w:pPr>
      <w:r>
        <w:rPr>
          <w:rFonts w:hint="eastAsia"/>
          <w:lang w:eastAsia="zh-CN"/>
        </w:rPr>
        <w:t>班前安全活动由班组长做好每天活动内容以及受教育人签名，每星期总结一次，并将整理好的启示交项目专职安全员归档。</w:t>
      </w:r>
    </w:p>
    <w:p>
      <w:pPr>
        <w:spacing w:before="120" w:beforeLines="50" w:after="120" w:afterLines="50" w:line="360" w:lineRule="auto"/>
        <w:outlineLvl w:val="1"/>
        <w:rPr>
          <w:lang w:eastAsia="zh-CN"/>
        </w:rPr>
      </w:pPr>
      <w:bookmarkStart w:id="33" w:name="_Toc103591617"/>
      <w:bookmarkStart w:id="34" w:name="_Toc536629201"/>
      <w:r>
        <w:rPr>
          <w:rFonts w:hint="eastAsia"/>
          <w:lang w:eastAsia="zh-CN"/>
        </w:rPr>
        <w:t>3.2.8安全生产检查、验收制度</w:t>
      </w:r>
      <w:bookmarkEnd w:id="33"/>
      <w:bookmarkEnd w:id="34"/>
    </w:p>
    <w:p>
      <w:pPr>
        <w:spacing w:line="360" w:lineRule="auto"/>
        <w:rPr>
          <w:lang w:eastAsia="zh-CN"/>
        </w:rPr>
      </w:pPr>
      <w:r>
        <w:rPr>
          <w:rFonts w:hint="eastAsia"/>
          <w:lang w:eastAsia="zh-CN"/>
        </w:rPr>
        <w:t>3.2.8.1公司对项目的检查：</w:t>
      </w:r>
    </w:p>
    <w:p>
      <w:pPr>
        <w:spacing w:line="360" w:lineRule="auto"/>
        <w:ind w:firstLine="440" w:firstLineChars="200"/>
        <w:rPr>
          <w:lang w:eastAsia="zh-CN"/>
        </w:rPr>
      </w:pPr>
      <w:r>
        <w:rPr>
          <w:rFonts w:hint="eastAsia"/>
          <w:lang w:eastAsia="zh-CN"/>
        </w:rPr>
        <w:t>公司对每次检查提出考评报告，并对项目存在的问题进行现场讲解，提出整改的措施，发出整改通知书。项目部根据检查提出的问题定人、定时进行整改，整改完后将结果上报公司职能科室，由公司安全主管负责进行复查。</w:t>
      </w:r>
    </w:p>
    <w:p>
      <w:pPr>
        <w:spacing w:line="360" w:lineRule="auto"/>
        <w:rPr>
          <w:lang w:eastAsia="zh-CN"/>
        </w:rPr>
      </w:pPr>
      <w:r>
        <w:rPr>
          <w:rFonts w:hint="eastAsia"/>
          <w:lang w:eastAsia="zh-CN"/>
        </w:rPr>
        <w:t>3.2.8.2项目部自检：</w:t>
      </w:r>
    </w:p>
    <w:p>
      <w:pPr>
        <w:spacing w:line="360" w:lineRule="auto"/>
        <w:ind w:firstLine="440" w:firstLineChars="200"/>
        <w:rPr>
          <w:lang w:eastAsia="zh-CN"/>
        </w:rPr>
      </w:pPr>
      <w:r>
        <w:rPr>
          <w:rFonts w:hint="eastAsia"/>
          <w:lang w:eastAsia="zh-CN"/>
        </w:rPr>
        <w:t>项目专职安全员每天对所负责的工程项目的安全情况进行巡回检查，巡回检查的范围及内容如下：</w:t>
      </w:r>
    </w:p>
    <w:p>
      <w:pPr>
        <w:spacing w:line="360" w:lineRule="auto"/>
        <w:ind w:firstLine="440" w:firstLineChars="200"/>
        <w:rPr>
          <w:lang w:eastAsia="zh-CN"/>
        </w:rPr>
      </w:pPr>
      <w:r>
        <w:rPr>
          <w:rFonts w:hint="eastAsia"/>
          <w:lang w:eastAsia="zh-CN"/>
        </w:rPr>
        <w:t>a.所有孔、洞、井的防护情况。</w:t>
      </w:r>
    </w:p>
    <w:p>
      <w:pPr>
        <w:spacing w:line="360" w:lineRule="auto"/>
        <w:ind w:firstLine="440" w:firstLineChars="200"/>
        <w:rPr>
          <w:lang w:eastAsia="zh-CN"/>
        </w:rPr>
      </w:pPr>
      <w:r>
        <w:rPr>
          <w:rFonts w:hint="eastAsia"/>
          <w:lang w:eastAsia="zh-CN"/>
        </w:rPr>
        <w:t>b.临边、四口防护情况。</w:t>
      </w:r>
    </w:p>
    <w:p>
      <w:pPr>
        <w:spacing w:line="360" w:lineRule="auto"/>
        <w:ind w:firstLine="440" w:firstLineChars="200"/>
        <w:rPr>
          <w:lang w:eastAsia="zh-CN"/>
        </w:rPr>
      </w:pPr>
      <w:r>
        <w:rPr>
          <w:rFonts w:hint="eastAsia"/>
          <w:lang w:eastAsia="zh-CN"/>
        </w:rPr>
        <w:t>c.施工用电情况包括架线方式、箱闸设置、熔断器、漏电保护器，需要用安全电压的部位，安全电压情况等。</w:t>
      </w:r>
    </w:p>
    <w:p>
      <w:pPr>
        <w:spacing w:line="360" w:lineRule="auto"/>
        <w:ind w:firstLine="440" w:firstLineChars="200"/>
        <w:rPr>
          <w:lang w:eastAsia="zh-CN"/>
        </w:rPr>
      </w:pPr>
      <w:r>
        <w:rPr>
          <w:rFonts w:hint="eastAsia"/>
          <w:lang w:eastAsia="zh-CN"/>
        </w:rPr>
        <w:t>d.脚手架的搭设安全情况。</w:t>
      </w:r>
    </w:p>
    <w:p>
      <w:pPr>
        <w:spacing w:line="360" w:lineRule="auto"/>
        <w:ind w:firstLine="440" w:firstLineChars="200"/>
        <w:rPr>
          <w:lang w:eastAsia="zh-CN"/>
        </w:rPr>
      </w:pPr>
      <w:r>
        <w:rPr>
          <w:rFonts w:hint="eastAsia"/>
          <w:lang w:eastAsia="zh-CN"/>
        </w:rPr>
        <w:t>e.水平安全网设置、固定、联接、网内掉物情况。</w:t>
      </w:r>
    </w:p>
    <w:p>
      <w:pPr>
        <w:spacing w:line="360" w:lineRule="auto"/>
        <w:ind w:firstLine="440" w:firstLineChars="200"/>
        <w:rPr>
          <w:lang w:eastAsia="zh-CN"/>
        </w:rPr>
      </w:pPr>
      <w:r>
        <w:rPr>
          <w:rFonts w:hint="eastAsia"/>
          <w:lang w:eastAsia="zh-CN"/>
        </w:rPr>
        <w:t>f.光线照度不佳的施工层间的防护。</w:t>
      </w:r>
    </w:p>
    <w:p>
      <w:pPr>
        <w:spacing w:line="360" w:lineRule="auto"/>
        <w:ind w:firstLine="440" w:firstLineChars="200"/>
        <w:rPr>
          <w:lang w:eastAsia="zh-CN"/>
        </w:rPr>
      </w:pPr>
      <w:r>
        <w:rPr>
          <w:rFonts w:hint="eastAsia"/>
          <w:lang w:eastAsia="zh-CN"/>
        </w:rPr>
        <w:t>g.非土建作业在建筑物内临时吊挂重物，割责任重大预埋件情况。</w:t>
      </w:r>
    </w:p>
    <w:p>
      <w:pPr>
        <w:spacing w:line="360" w:lineRule="auto"/>
        <w:ind w:firstLine="440" w:firstLineChars="200"/>
      </w:pPr>
      <w:r>
        <w:rPr>
          <w:rFonts w:hint="eastAsia"/>
        </w:rPr>
        <w:t>h.气割、氧割、氧气瓶与乙炔罐的安全距离。</w:t>
      </w:r>
    </w:p>
    <w:p>
      <w:pPr>
        <w:spacing w:line="360" w:lineRule="auto"/>
        <w:ind w:firstLine="440" w:firstLineChars="200"/>
        <w:rPr>
          <w:lang w:eastAsia="zh-CN"/>
        </w:rPr>
      </w:pPr>
      <w:r>
        <w:rPr>
          <w:rFonts w:hint="eastAsia"/>
          <w:lang w:eastAsia="zh-CN"/>
        </w:rPr>
        <w:t>i.“三宝”使用情况及远离群体，贪图方便，试图冒险作业的行为。</w:t>
      </w:r>
    </w:p>
    <w:p>
      <w:pPr>
        <w:spacing w:line="360" w:lineRule="auto"/>
        <w:ind w:firstLine="440" w:firstLineChars="200"/>
        <w:rPr>
          <w:lang w:eastAsia="zh-CN"/>
        </w:rPr>
      </w:pPr>
      <w:r>
        <w:rPr>
          <w:rFonts w:hint="eastAsia"/>
          <w:lang w:eastAsia="zh-CN"/>
        </w:rPr>
        <w:t>j.各种机械设备安全情况。</w:t>
      </w:r>
    </w:p>
    <w:p>
      <w:pPr>
        <w:spacing w:line="360" w:lineRule="auto"/>
        <w:ind w:firstLine="440" w:firstLineChars="200"/>
        <w:rPr>
          <w:lang w:eastAsia="zh-CN"/>
        </w:rPr>
      </w:pPr>
      <w:r>
        <w:rPr>
          <w:rFonts w:hint="eastAsia"/>
          <w:lang w:eastAsia="zh-CN"/>
        </w:rPr>
        <w:t>k.现场整体防火情况。</w:t>
      </w:r>
    </w:p>
    <w:p>
      <w:pPr>
        <w:spacing w:line="360" w:lineRule="auto"/>
        <w:ind w:firstLine="440" w:firstLineChars="200"/>
        <w:rPr>
          <w:lang w:eastAsia="zh-CN"/>
        </w:rPr>
      </w:pPr>
      <w:r>
        <w:rPr>
          <w:rFonts w:hint="eastAsia"/>
          <w:lang w:eastAsia="zh-CN"/>
        </w:rPr>
        <w:t>l.其它不安全因素。</w:t>
      </w:r>
    </w:p>
    <w:p>
      <w:pPr>
        <w:spacing w:line="360" w:lineRule="auto"/>
        <w:ind w:firstLine="440" w:firstLineChars="200"/>
        <w:rPr>
          <w:lang w:eastAsia="zh-CN"/>
        </w:rPr>
      </w:pPr>
      <w:r>
        <w:rPr>
          <w:rFonts w:hint="eastAsia"/>
          <w:lang w:eastAsia="zh-CN"/>
        </w:rPr>
        <w:t>m.每天对具有防火要求的部位，进行全面仔细的检查，在动火作业前检查作业人员是否输了动火审批手续，对正在动火作业的部位，检查是否有消防器材，同时应安排专人监护，认真做好动火后的安全检查工作，做好每天的消防安全巡视记录。</w:t>
      </w:r>
    </w:p>
    <w:p>
      <w:pPr>
        <w:spacing w:line="360" w:lineRule="auto"/>
        <w:rPr>
          <w:lang w:eastAsia="zh-CN"/>
        </w:rPr>
      </w:pPr>
      <w:r>
        <w:rPr>
          <w:rFonts w:hint="eastAsia"/>
          <w:lang w:eastAsia="zh-CN"/>
        </w:rPr>
        <w:t>3.2.8.3安全验收：</w:t>
      </w:r>
    </w:p>
    <w:p>
      <w:pPr>
        <w:spacing w:line="360" w:lineRule="auto"/>
        <w:ind w:firstLine="440" w:firstLineChars="200"/>
        <w:rPr>
          <w:lang w:eastAsia="zh-CN"/>
        </w:rPr>
      </w:pPr>
      <w:r>
        <w:rPr>
          <w:rFonts w:hint="eastAsia"/>
          <w:lang w:eastAsia="zh-CN"/>
        </w:rPr>
        <w:t>a.脚手架搭设好后，必须由项目安全员会同项目技术部负责人，架子班（组）长进行分段验收，合格后方可使用。</w:t>
      </w:r>
    </w:p>
    <w:p>
      <w:pPr>
        <w:spacing w:line="360" w:lineRule="auto"/>
        <w:ind w:firstLine="440" w:firstLineChars="200"/>
        <w:rPr>
          <w:lang w:eastAsia="zh-CN"/>
        </w:rPr>
      </w:pPr>
      <w:r>
        <w:rPr>
          <w:rFonts w:hint="eastAsia"/>
          <w:lang w:eastAsia="zh-CN"/>
        </w:rPr>
        <w:t>b.</w:t>
      </w:r>
      <w:r>
        <w:rPr>
          <w:lang w:eastAsia="zh-CN"/>
        </w:rPr>
        <w:t xml:space="preserve"> </w:t>
      </w:r>
      <w:r>
        <w:rPr>
          <w:rFonts w:hint="eastAsia"/>
          <w:lang w:eastAsia="zh-CN"/>
        </w:rPr>
        <w:t>施工现场临时用电安装完毕，由项目安全员会同项目技术负责人、临时用电安装负责人进行验收，合格后方可使用。</w:t>
      </w:r>
    </w:p>
    <w:p>
      <w:pPr>
        <w:spacing w:before="120" w:beforeLines="50" w:after="120" w:afterLines="50" w:line="360" w:lineRule="auto"/>
        <w:outlineLvl w:val="1"/>
        <w:rPr>
          <w:lang w:eastAsia="zh-CN"/>
        </w:rPr>
      </w:pPr>
      <w:bookmarkStart w:id="35" w:name="_Toc536629202"/>
      <w:bookmarkStart w:id="36" w:name="_Toc103591618"/>
      <w:r>
        <w:rPr>
          <w:rFonts w:hint="eastAsia"/>
          <w:lang w:eastAsia="zh-CN"/>
        </w:rPr>
        <w:t>3.2.9安全技术交底制度</w:t>
      </w:r>
      <w:bookmarkEnd w:id="35"/>
      <w:bookmarkEnd w:id="36"/>
    </w:p>
    <w:p>
      <w:pPr>
        <w:spacing w:line="360" w:lineRule="auto"/>
        <w:rPr>
          <w:lang w:eastAsia="zh-CN"/>
        </w:rPr>
      </w:pPr>
      <w:r>
        <w:rPr>
          <w:rFonts w:hint="eastAsia"/>
          <w:lang w:eastAsia="zh-CN"/>
        </w:rPr>
        <w:t>3.2.9.1安全交底的要求</w:t>
      </w:r>
    </w:p>
    <w:p>
      <w:pPr>
        <w:spacing w:line="360" w:lineRule="auto"/>
        <w:ind w:firstLine="440" w:firstLineChars="200"/>
        <w:rPr>
          <w:lang w:eastAsia="zh-CN"/>
        </w:rPr>
      </w:pPr>
      <w:r>
        <w:rPr>
          <w:rFonts w:hint="eastAsia"/>
          <w:lang w:eastAsia="zh-CN"/>
        </w:rPr>
        <w:t>工程开工时，项目技术负责人应根据工程特点，施工条件以及施工程序，明确施工过程中要进行哪些安全交底，交底应包括哪些内容，各次交底应在什么时候由谁进行以及交底计划的执行情况和实施效果由谁来检查和验证等内容。</w:t>
      </w:r>
    </w:p>
    <w:p>
      <w:pPr>
        <w:spacing w:line="360" w:lineRule="auto"/>
        <w:ind w:firstLine="440" w:firstLineChars="200"/>
        <w:rPr>
          <w:lang w:eastAsia="zh-CN"/>
        </w:rPr>
      </w:pPr>
      <w:r>
        <w:rPr>
          <w:rFonts w:hint="eastAsia"/>
          <w:lang w:eastAsia="zh-CN"/>
        </w:rPr>
        <w:t>安全交底应满足国家及行业有关的安全政策、法令、规范、规程、标准等。</w:t>
      </w:r>
    </w:p>
    <w:p>
      <w:pPr>
        <w:spacing w:line="360" w:lineRule="auto"/>
        <w:ind w:firstLine="440" w:firstLineChars="200"/>
        <w:rPr>
          <w:lang w:eastAsia="zh-CN"/>
        </w:rPr>
      </w:pPr>
      <w:r>
        <w:rPr>
          <w:rFonts w:hint="eastAsia"/>
          <w:lang w:eastAsia="zh-CN"/>
        </w:rPr>
        <w:t>安全交底以书面形式进行，交底后，交底人应组织接受交底人认真讨论并及时回答接受交底人提出的问题，待接受人明确交底意图后，双方在交底书上签字。</w:t>
      </w:r>
    </w:p>
    <w:p>
      <w:pPr>
        <w:spacing w:line="360" w:lineRule="auto"/>
        <w:ind w:firstLine="440" w:firstLineChars="200"/>
        <w:rPr>
          <w:lang w:eastAsia="zh-CN"/>
        </w:rPr>
      </w:pPr>
      <w:r>
        <w:rPr>
          <w:rFonts w:hint="eastAsia"/>
          <w:lang w:eastAsia="zh-CN"/>
        </w:rPr>
        <w:t>安全交底由交底人检查监督，在检查监督过程中，如发现交底内容不全、没有针对性或存在失误，可补充或修改交底的有关内容。</w:t>
      </w:r>
    </w:p>
    <w:p>
      <w:pPr>
        <w:spacing w:before="120" w:beforeLines="50" w:after="120" w:afterLines="50" w:line="360" w:lineRule="auto"/>
        <w:outlineLvl w:val="1"/>
        <w:rPr>
          <w:lang w:eastAsia="zh-CN"/>
        </w:rPr>
      </w:pPr>
      <w:bookmarkStart w:id="37" w:name="_Toc536629203"/>
      <w:bookmarkStart w:id="38" w:name="_Toc103591619"/>
      <w:r>
        <w:rPr>
          <w:rFonts w:hint="eastAsia"/>
          <w:lang w:eastAsia="zh-CN"/>
        </w:rPr>
        <w:t>3.2.1</w:t>
      </w:r>
      <w:r>
        <w:rPr>
          <w:lang w:eastAsia="zh-CN"/>
        </w:rPr>
        <w:t>0</w:t>
      </w:r>
      <w:r>
        <w:rPr>
          <w:rFonts w:hint="eastAsia"/>
          <w:lang w:eastAsia="zh-CN"/>
        </w:rPr>
        <w:t>特种作业人员持证上岗制度</w:t>
      </w:r>
      <w:bookmarkEnd w:id="37"/>
      <w:bookmarkEnd w:id="38"/>
    </w:p>
    <w:p>
      <w:pPr>
        <w:spacing w:line="360" w:lineRule="auto"/>
        <w:rPr>
          <w:lang w:eastAsia="zh-CN"/>
        </w:rPr>
      </w:pPr>
      <w:r>
        <w:rPr>
          <w:rFonts w:hint="eastAsia"/>
          <w:lang w:eastAsia="zh-CN"/>
        </w:rPr>
        <w:t>3.2.10.1特种作业是指对操作者本人，尤其对他人和周围设施的安全有重大危害因素作业。直接从事牿作业者，称特种作业人员。</w:t>
      </w:r>
    </w:p>
    <w:p>
      <w:pPr>
        <w:spacing w:line="360" w:lineRule="auto"/>
        <w:rPr>
          <w:lang w:eastAsia="zh-CN"/>
        </w:rPr>
      </w:pPr>
      <w:r>
        <w:rPr>
          <w:rFonts w:hint="eastAsia"/>
          <w:lang w:eastAsia="zh-CN"/>
        </w:rPr>
        <w:t>3.2.10.2特种作业范围：电工作业、金属焊接作业、机动车辆。</w:t>
      </w:r>
    </w:p>
    <w:p>
      <w:pPr>
        <w:spacing w:line="360" w:lineRule="auto"/>
        <w:rPr>
          <w:lang w:eastAsia="zh-CN"/>
        </w:rPr>
      </w:pPr>
      <w:r>
        <w:rPr>
          <w:rFonts w:hint="eastAsia"/>
          <w:lang w:eastAsia="zh-CN"/>
        </w:rPr>
        <w:t>3.2.10.3所有从事特种作业都必须持有国家或当地市、县有关部门或其指定单位的考核上岗证。</w:t>
      </w:r>
    </w:p>
    <w:p>
      <w:pPr>
        <w:spacing w:line="360" w:lineRule="auto"/>
        <w:rPr>
          <w:lang w:eastAsia="zh-CN"/>
        </w:rPr>
      </w:pPr>
      <w:r>
        <w:rPr>
          <w:rFonts w:hint="eastAsia"/>
          <w:lang w:eastAsia="zh-CN"/>
        </w:rPr>
        <w:t>3.2.10.4施工现场所有特殊作业人员必须登记并报公司工程部备案。</w:t>
      </w:r>
    </w:p>
    <w:p>
      <w:pPr>
        <w:spacing w:before="120" w:beforeLines="50" w:after="120" w:afterLines="50" w:line="360" w:lineRule="auto"/>
        <w:outlineLvl w:val="1"/>
        <w:rPr>
          <w:lang w:eastAsia="zh-CN"/>
        </w:rPr>
      </w:pPr>
      <w:bookmarkStart w:id="39" w:name="_Toc536629204"/>
      <w:bookmarkStart w:id="40" w:name="_Toc103591620"/>
      <w:r>
        <w:rPr>
          <w:rFonts w:hint="eastAsia"/>
          <w:lang w:eastAsia="zh-CN"/>
        </w:rPr>
        <w:t>3.2.1</w:t>
      </w:r>
      <w:r>
        <w:rPr>
          <w:lang w:eastAsia="zh-CN"/>
        </w:rPr>
        <w:t>1</w:t>
      </w:r>
      <w:r>
        <w:rPr>
          <w:rFonts w:hint="eastAsia"/>
          <w:lang w:eastAsia="zh-CN"/>
        </w:rPr>
        <w:t>施工现场消防管理制度</w:t>
      </w:r>
      <w:bookmarkEnd w:id="39"/>
      <w:bookmarkEnd w:id="40"/>
    </w:p>
    <w:p>
      <w:pPr>
        <w:spacing w:line="360" w:lineRule="auto"/>
        <w:rPr>
          <w:lang w:eastAsia="zh-CN"/>
        </w:rPr>
      </w:pPr>
      <w:r>
        <w:rPr>
          <w:rFonts w:hint="eastAsia"/>
          <w:lang w:eastAsia="zh-CN"/>
        </w:rPr>
        <w:t>3.2.1</w:t>
      </w:r>
      <w:r>
        <w:rPr>
          <w:lang w:eastAsia="zh-CN"/>
        </w:rPr>
        <w:t>1</w:t>
      </w:r>
      <w:r>
        <w:rPr>
          <w:rFonts w:hint="eastAsia"/>
          <w:lang w:eastAsia="zh-CN"/>
        </w:rPr>
        <w:t>.1施工现场防火管理工作，必须认真贯彻“预防为主、消防结合”的方针，立足于自防自救，坚持安全第一，实行“谁主管、谁负责”的原则。</w:t>
      </w:r>
    </w:p>
    <w:p>
      <w:pPr>
        <w:spacing w:line="360" w:lineRule="auto"/>
        <w:rPr>
          <w:lang w:eastAsia="zh-CN"/>
        </w:rPr>
      </w:pPr>
      <w:r>
        <w:rPr>
          <w:rFonts w:hint="eastAsia"/>
          <w:lang w:eastAsia="zh-CN"/>
        </w:rPr>
        <w:t>3.2.1</w:t>
      </w:r>
      <w:r>
        <w:rPr>
          <w:lang w:eastAsia="zh-CN"/>
        </w:rPr>
        <w:t>1</w:t>
      </w:r>
      <w:r>
        <w:rPr>
          <w:rFonts w:hint="eastAsia"/>
          <w:lang w:eastAsia="zh-CN"/>
        </w:rPr>
        <w:t>.2项目部应建立健全岗位防火责任制，项目经理是现场防火责任人，全面负责施工现场防火工作，实行各级防火制度，明确各岗位防火责任区和职责。</w:t>
      </w:r>
    </w:p>
    <w:p>
      <w:pPr>
        <w:spacing w:line="360" w:lineRule="auto"/>
        <w:rPr>
          <w:lang w:eastAsia="zh-CN"/>
        </w:rPr>
      </w:pPr>
      <w:r>
        <w:rPr>
          <w:rFonts w:hint="eastAsia"/>
          <w:lang w:eastAsia="zh-CN"/>
        </w:rPr>
        <w:t>3.2.1</w:t>
      </w:r>
      <w:r>
        <w:rPr>
          <w:lang w:eastAsia="zh-CN"/>
        </w:rPr>
        <w:t>1</w:t>
      </w:r>
      <w:r>
        <w:rPr>
          <w:rFonts w:hint="eastAsia"/>
          <w:lang w:eastAsia="zh-CN"/>
        </w:rPr>
        <w:t>.3项目部应当对职工进行经常性的防火宣传教育，普及消防知识，增强消防观念，自觉遵守各项防火制度。</w:t>
      </w:r>
    </w:p>
    <w:p>
      <w:pPr>
        <w:spacing w:line="360" w:lineRule="auto"/>
        <w:rPr>
          <w:lang w:eastAsia="zh-CN"/>
        </w:rPr>
      </w:pPr>
      <w:r>
        <w:rPr>
          <w:rFonts w:hint="eastAsia"/>
          <w:lang w:eastAsia="zh-CN"/>
        </w:rPr>
        <w:t>3.2.1</w:t>
      </w:r>
      <w:r>
        <w:rPr>
          <w:lang w:eastAsia="zh-CN"/>
        </w:rPr>
        <w:t>1</w:t>
      </w:r>
      <w:r>
        <w:rPr>
          <w:rFonts w:hint="eastAsia"/>
          <w:lang w:eastAsia="zh-CN"/>
        </w:rPr>
        <w:t>.</w:t>
      </w:r>
      <w:r>
        <w:rPr>
          <w:lang w:eastAsia="zh-CN"/>
        </w:rPr>
        <w:t>4</w:t>
      </w:r>
      <w:r>
        <w:rPr>
          <w:rFonts w:hint="eastAsia"/>
          <w:lang w:eastAsia="zh-CN"/>
        </w:rPr>
        <w:t>建立防火检查制度，专职安全员每天对整个施工现场进行防火检查，发现问题及时处理；项目部每星期组织有关人员对施工现场防火进行一次检查；公司每月对项目进行检查评比。</w:t>
      </w:r>
    </w:p>
    <w:p>
      <w:pPr>
        <w:spacing w:line="360" w:lineRule="auto"/>
        <w:rPr>
          <w:lang w:eastAsia="zh-CN"/>
        </w:rPr>
      </w:pPr>
      <w:r>
        <w:rPr>
          <w:rFonts w:hint="eastAsia"/>
          <w:lang w:eastAsia="zh-CN"/>
        </w:rPr>
        <w:t>3.2.1</w:t>
      </w:r>
      <w:r>
        <w:rPr>
          <w:lang w:eastAsia="zh-CN"/>
        </w:rPr>
        <w:t>1</w:t>
      </w:r>
      <w:r>
        <w:rPr>
          <w:rFonts w:hint="eastAsia"/>
          <w:lang w:eastAsia="zh-CN"/>
        </w:rPr>
        <w:t>.5施工现场应认真做好电气设备、临时宿舍、易燃易爆、防火管理工作。</w:t>
      </w:r>
    </w:p>
    <w:p>
      <w:pPr>
        <w:spacing w:line="360" w:lineRule="auto"/>
        <w:rPr>
          <w:lang w:eastAsia="zh-CN"/>
        </w:rPr>
      </w:pPr>
      <w:r>
        <w:rPr>
          <w:rFonts w:hint="eastAsia"/>
          <w:lang w:eastAsia="zh-CN"/>
        </w:rPr>
        <w:t>3.2.1</w:t>
      </w:r>
      <w:r>
        <w:rPr>
          <w:lang w:eastAsia="zh-CN"/>
        </w:rPr>
        <w:t>1</w:t>
      </w:r>
      <w:r>
        <w:rPr>
          <w:rFonts w:hint="eastAsia"/>
          <w:lang w:eastAsia="zh-CN"/>
        </w:rPr>
        <w:t>.</w:t>
      </w:r>
      <w:r>
        <w:rPr>
          <w:lang w:eastAsia="zh-CN"/>
        </w:rPr>
        <w:t>6</w:t>
      </w:r>
      <w:r>
        <w:rPr>
          <w:rFonts w:hint="eastAsia"/>
          <w:lang w:eastAsia="zh-CN"/>
        </w:rPr>
        <w:t>施工现场动火作业前，必须办理动火许可证，严格执行动火审批制度。</w:t>
      </w:r>
    </w:p>
    <w:p>
      <w:pPr>
        <w:spacing w:before="120" w:beforeLines="50" w:after="120" w:afterLines="50" w:line="360" w:lineRule="auto"/>
        <w:outlineLvl w:val="1"/>
        <w:rPr>
          <w:lang w:eastAsia="zh-CN"/>
        </w:rPr>
      </w:pPr>
      <w:bookmarkStart w:id="41" w:name="_Toc103591621"/>
      <w:bookmarkStart w:id="42" w:name="_Toc536629205"/>
      <w:r>
        <w:rPr>
          <w:rFonts w:hint="eastAsia"/>
          <w:lang w:eastAsia="zh-CN"/>
        </w:rPr>
        <w:t>3.2.1</w:t>
      </w:r>
      <w:r>
        <w:rPr>
          <w:lang w:eastAsia="zh-CN"/>
        </w:rPr>
        <w:t>2</w:t>
      </w:r>
      <w:r>
        <w:rPr>
          <w:rFonts w:hint="eastAsia"/>
          <w:lang w:eastAsia="zh-CN"/>
        </w:rPr>
        <w:t>安全事故报告和处理制度</w:t>
      </w:r>
      <w:bookmarkEnd w:id="41"/>
      <w:bookmarkEnd w:id="42"/>
    </w:p>
    <w:p>
      <w:pPr>
        <w:spacing w:line="360" w:lineRule="auto"/>
        <w:rPr>
          <w:lang w:eastAsia="zh-CN"/>
        </w:rPr>
      </w:pPr>
      <w:r>
        <w:rPr>
          <w:rFonts w:hint="eastAsia"/>
          <w:lang w:eastAsia="zh-CN"/>
        </w:rPr>
        <w:t>3.2.12.1为了及时报告、统计、调查和处理职工伤亡事故，积极采取预防措施，防止伤亡事故。制定安全事故报告和处理制度。</w:t>
      </w:r>
    </w:p>
    <w:p>
      <w:pPr>
        <w:spacing w:line="360" w:lineRule="auto"/>
        <w:rPr>
          <w:lang w:eastAsia="zh-CN"/>
        </w:rPr>
      </w:pPr>
      <w:r>
        <w:rPr>
          <w:rFonts w:hint="eastAsia"/>
          <w:lang w:eastAsia="zh-CN"/>
        </w:rPr>
        <w:t>3.2.12.2伤亡事故是指职工（含民工、合同工）在劳动过程中发生的人生伤害、急性中毒等事故。</w:t>
      </w:r>
    </w:p>
    <w:p>
      <w:pPr>
        <w:spacing w:line="360" w:lineRule="auto"/>
        <w:rPr>
          <w:szCs w:val="24"/>
          <w:lang w:eastAsia="zh-CN"/>
        </w:rPr>
      </w:pPr>
      <w:r>
        <w:rPr>
          <w:szCs w:val="24"/>
          <w:lang w:eastAsia="zh-CN"/>
        </w:rPr>
        <w:t>4</w:t>
      </w:r>
      <w:r>
        <w:rPr>
          <w:rFonts w:hint="eastAsia"/>
          <w:szCs w:val="24"/>
          <w:lang w:eastAsia="zh-CN"/>
        </w:rPr>
        <w:t>质量要求</w:t>
      </w:r>
    </w:p>
    <w:p>
      <w:pPr>
        <w:spacing w:line="360" w:lineRule="auto"/>
        <w:rPr>
          <w:szCs w:val="24"/>
          <w:lang w:eastAsia="zh-CN"/>
        </w:rPr>
      </w:pPr>
      <w:r>
        <w:rPr>
          <w:szCs w:val="24"/>
          <w:lang w:eastAsia="zh-CN"/>
        </w:rPr>
        <w:t>4</w:t>
      </w:r>
      <w:r>
        <w:rPr>
          <w:rFonts w:hint="eastAsia"/>
          <w:szCs w:val="24"/>
          <w:lang w:eastAsia="zh-CN"/>
        </w:rPr>
        <w:t>.1投标方设计质量，严格质量过程控制，项目提前策划、质量风险预控、问题实时处理、事后验证纪录，保证项目的质量目标能够实现。</w:t>
      </w:r>
    </w:p>
    <w:p>
      <w:pPr>
        <w:spacing w:line="360" w:lineRule="auto"/>
        <w:rPr>
          <w:szCs w:val="24"/>
          <w:lang w:eastAsia="zh-CN"/>
        </w:rPr>
      </w:pPr>
      <w:r>
        <w:rPr>
          <w:szCs w:val="24"/>
          <w:lang w:eastAsia="zh-CN"/>
        </w:rPr>
        <w:t>4</w:t>
      </w:r>
      <w:r>
        <w:rPr>
          <w:rFonts w:hint="eastAsia"/>
          <w:szCs w:val="24"/>
          <w:lang w:eastAsia="zh-CN"/>
        </w:rPr>
        <w:t>.2投标方对项目所有设计工作业务质量和成品质量负责。组织对设计文件进行校审；根据需要对技术问题进行专业评审、方案评审；组织对设计质量体系运行状态进行自查及整改活动。</w:t>
      </w:r>
    </w:p>
    <w:p>
      <w:pPr>
        <w:spacing w:line="360" w:lineRule="auto"/>
        <w:rPr>
          <w:szCs w:val="24"/>
          <w:lang w:eastAsia="zh-CN"/>
        </w:rPr>
      </w:pPr>
      <w:r>
        <w:rPr>
          <w:szCs w:val="24"/>
          <w:lang w:eastAsia="zh-CN"/>
        </w:rPr>
        <w:t>4</w:t>
      </w:r>
      <w:r>
        <w:rPr>
          <w:rFonts w:hint="eastAsia"/>
          <w:szCs w:val="24"/>
          <w:lang w:eastAsia="zh-CN"/>
        </w:rPr>
        <w:t>.3设备的设计满足国家的有关标准、规范的要求，并充分考虑当地环境条件和使用条件的影响。</w:t>
      </w:r>
    </w:p>
    <w:p>
      <w:pPr>
        <w:spacing w:line="360" w:lineRule="auto"/>
        <w:rPr>
          <w:lang w:eastAsia="zh-CN"/>
        </w:rPr>
      </w:pPr>
      <w:r>
        <w:rPr>
          <w:color w:val="000000"/>
          <w:szCs w:val="24"/>
          <w:lang w:eastAsia="zh-CN"/>
        </w:rPr>
        <w:t>4</w:t>
      </w:r>
      <w:r>
        <w:rPr>
          <w:rFonts w:hint="eastAsia"/>
          <w:color w:val="000000"/>
          <w:szCs w:val="24"/>
          <w:lang w:eastAsia="zh-CN"/>
        </w:rPr>
        <w:t>.4投标方提供的资料应使用国家法定单位制即国际单位制，提供的技术资料和图纸的文种为中文，投标方应对中本资料的准确性和一致性负责。其中提供的图纸须同时提供</w:t>
      </w:r>
      <w:r>
        <w:rPr>
          <w:color w:val="000000"/>
          <w:szCs w:val="24"/>
          <w:lang w:eastAsia="zh-CN"/>
        </w:rPr>
        <w:t>AUTOCAD</w:t>
      </w:r>
      <w:r>
        <w:rPr>
          <w:rFonts w:hint="eastAsia"/>
          <w:color w:val="000000"/>
          <w:szCs w:val="24"/>
          <w:lang w:eastAsia="zh-CN"/>
        </w:rPr>
        <w:t>200</w:t>
      </w:r>
      <w:r>
        <w:rPr>
          <w:color w:val="000000"/>
          <w:szCs w:val="24"/>
          <w:lang w:eastAsia="zh-CN"/>
        </w:rPr>
        <w:t>4</w:t>
      </w:r>
      <w:r>
        <w:rPr>
          <w:rFonts w:hint="eastAsia"/>
          <w:color w:val="000000"/>
          <w:szCs w:val="24"/>
          <w:lang w:eastAsia="zh-CN"/>
        </w:rPr>
        <w:t>电子文本。</w:t>
      </w:r>
    </w:p>
    <w:p>
      <w:pPr>
        <w:spacing w:line="360" w:lineRule="auto"/>
        <w:rPr>
          <w:lang w:eastAsia="zh-CN"/>
        </w:rPr>
      </w:pPr>
      <w:r>
        <w:rPr>
          <w:rFonts w:hint="eastAsia"/>
          <w:lang w:eastAsia="zh-CN"/>
        </w:rPr>
        <w:t>4 供货范围</w:t>
      </w:r>
    </w:p>
    <w:p>
      <w:pPr>
        <w:spacing w:line="360" w:lineRule="auto"/>
        <w:ind w:firstLine="440" w:firstLineChars="200"/>
        <w:rPr>
          <w:lang w:eastAsia="zh-CN"/>
        </w:rPr>
      </w:pPr>
      <w:r>
        <w:rPr>
          <w:rFonts w:hint="eastAsia"/>
          <w:lang w:eastAsia="zh-CN"/>
        </w:rPr>
        <w:t>所有改造范围内的设备均属供货范围，对没有包括在如下供货范围内的设备及部件，若对安全运行是有必要的，投标方也应配供。</w:t>
      </w:r>
    </w:p>
    <w:p>
      <w:pPr>
        <w:spacing w:line="360" w:lineRule="auto"/>
        <w:ind w:firstLine="440" w:firstLineChars="200"/>
        <w:rPr>
          <w:snapToGrid w:val="0"/>
          <w:lang w:eastAsia="zh-CN"/>
        </w:rPr>
      </w:pPr>
      <w:r>
        <w:rPr>
          <w:rFonts w:hint="eastAsia"/>
          <w:snapToGrid w:val="0"/>
          <w:lang w:eastAsia="zh-CN"/>
        </w:rPr>
        <w:t>热电厂工程共</w:t>
      </w:r>
      <w:r>
        <w:rPr>
          <w:snapToGrid w:val="0"/>
          <w:lang w:eastAsia="zh-CN"/>
        </w:rPr>
        <w:t>4</w:t>
      </w:r>
      <w:r>
        <w:rPr>
          <w:rFonts w:hint="eastAsia"/>
          <w:snapToGrid w:val="0"/>
          <w:lang w:eastAsia="zh-CN"/>
        </w:rPr>
        <w:t>台锅炉，本期对</w:t>
      </w:r>
      <w:r>
        <w:rPr>
          <w:snapToGrid w:val="0"/>
          <w:lang w:eastAsia="zh-CN"/>
        </w:rPr>
        <w:t>4</w:t>
      </w:r>
      <w:r>
        <w:rPr>
          <w:rFonts w:hint="eastAsia"/>
          <w:snapToGrid w:val="0"/>
          <w:lang w:eastAsia="zh-CN"/>
        </w:rPr>
        <w:t>台锅炉火检风源管全部进行</w:t>
      </w:r>
      <w:r>
        <w:rPr>
          <w:snapToGrid w:val="0"/>
          <w:lang w:eastAsia="zh-CN"/>
        </w:rPr>
        <w:t>改造</w:t>
      </w:r>
      <w:r>
        <w:rPr>
          <w:rFonts w:hint="eastAsia"/>
          <w:snapToGrid w:val="0"/>
          <w:lang w:eastAsia="zh-CN"/>
        </w:rPr>
        <w:t>。</w:t>
      </w:r>
    </w:p>
    <w:p>
      <w:pPr>
        <w:snapToGrid w:val="0"/>
        <w:spacing w:line="360" w:lineRule="auto"/>
        <w:rPr>
          <w:lang w:eastAsia="zh-CN"/>
        </w:rPr>
      </w:pPr>
      <w:r>
        <w:rPr>
          <w:rFonts w:hint="eastAsia"/>
          <w:bCs/>
          <w:lang w:eastAsia="zh-CN"/>
        </w:rPr>
        <w:t>4.</w:t>
      </w:r>
      <w:r>
        <w:rPr>
          <w:bCs/>
          <w:lang w:eastAsia="zh-CN"/>
        </w:rPr>
        <w:t>1</w:t>
      </w:r>
      <w:r>
        <w:rPr>
          <w:rFonts w:hint="eastAsia"/>
          <w:lang w:eastAsia="zh-CN"/>
        </w:rPr>
        <w:t>详细供货范围（按数量单台锅炉火检</w:t>
      </w:r>
      <w:r>
        <w:rPr>
          <w:lang w:eastAsia="zh-CN"/>
        </w:rPr>
        <w:t>风源管系统</w:t>
      </w:r>
      <w:r>
        <w:rPr>
          <w:rFonts w:hint="eastAsia"/>
          <w:lang w:eastAsia="zh-CN"/>
        </w:rPr>
        <w:t>计列）</w:t>
      </w:r>
    </w:p>
    <w:tbl>
      <w:tblPr>
        <w:tblStyle w:val="60"/>
        <w:tblW w:w="0" w:type="auto"/>
        <w:tblInd w:w="93" w:type="dxa"/>
        <w:tblLayout w:type="fixed"/>
        <w:tblCellMar>
          <w:top w:w="0" w:type="dxa"/>
          <w:left w:w="108" w:type="dxa"/>
          <w:bottom w:w="0" w:type="dxa"/>
          <w:right w:w="108" w:type="dxa"/>
        </w:tblCellMar>
      </w:tblPr>
      <w:tblGrid>
        <w:gridCol w:w="724"/>
        <w:gridCol w:w="3402"/>
        <w:gridCol w:w="709"/>
        <w:gridCol w:w="779"/>
        <w:gridCol w:w="1489"/>
        <w:gridCol w:w="1744"/>
      </w:tblGrid>
      <w:tr>
        <w:trPr>
          <w:trHeight w:val="300" w:hRule="atLeast"/>
        </w:trPr>
        <w:tc>
          <w:tcPr>
            <w:tcW w:w="724" w:type="dxa"/>
            <w:tcBorders>
              <w:top w:val="single" w:color="auto" w:sz="8" w:space="0"/>
              <w:left w:val="single" w:color="auto" w:sz="8" w:space="0"/>
              <w:bottom w:val="single" w:color="auto" w:sz="8" w:space="0"/>
              <w:right w:val="single" w:color="auto" w:sz="8" w:space="0"/>
            </w:tcBorders>
            <w:vAlign w:val="center"/>
          </w:tcPr>
          <w:p>
            <w:pPr>
              <w:widowControl/>
              <w:spacing w:line="360" w:lineRule="auto"/>
              <w:jc w:val="center"/>
            </w:pPr>
            <w:r>
              <w:rPr>
                <w:rFonts w:hint="eastAsia"/>
              </w:rPr>
              <w:t>序号</w:t>
            </w:r>
          </w:p>
        </w:tc>
        <w:tc>
          <w:tcPr>
            <w:tcW w:w="3402" w:type="dxa"/>
            <w:tcBorders>
              <w:top w:val="single" w:color="auto" w:sz="8" w:space="0"/>
              <w:left w:val="nil"/>
              <w:bottom w:val="single" w:color="auto" w:sz="8" w:space="0"/>
              <w:right w:val="single" w:color="auto" w:sz="8" w:space="0"/>
            </w:tcBorders>
            <w:vAlign w:val="center"/>
          </w:tcPr>
          <w:p>
            <w:pPr>
              <w:widowControl/>
              <w:spacing w:line="360" w:lineRule="auto"/>
              <w:jc w:val="center"/>
            </w:pPr>
            <w:r>
              <w:rPr>
                <w:rFonts w:hint="eastAsia"/>
              </w:rPr>
              <w:t>名称</w:t>
            </w:r>
          </w:p>
        </w:tc>
        <w:tc>
          <w:tcPr>
            <w:tcW w:w="709" w:type="dxa"/>
            <w:tcBorders>
              <w:top w:val="single" w:color="auto" w:sz="8" w:space="0"/>
              <w:left w:val="nil"/>
              <w:bottom w:val="single" w:color="auto" w:sz="8" w:space="0"/>
              <w:right w:val="single" w:color="auto" w:sz="8" w:space="0"/>
            </w:tcBorders>
            <w:vAlign w:val="center"/>
          </w:tcPr>
          <w:p>
            <w:pPr>
              <w:widowControl/>
              <w:spacing w:line="360" w:lineRule="auto"/>
              <w:jc w:val="center"/>
            </w:pPr>
            <w:r>
              <w:rPr>
                <w:rFonts w:hint="eastAsia"/>
              </w:rPr>
              <w:t>单位</w:t>
            </w:r>
          </w:p>
        </w:tc>
        <w:tc>
          <w:tcPr>
            <w:tcW w:w="779" w:type="dxa"/>
            <w:tcBorders>
              <w:top w:val="single" w:color="auto" w:sz="8" w:space="0"/>
              <w:left w:val="nil"/>
              <w:bottom w:val="single" w:color="auto" w:sz="8" w:space="0"/>
              <w:right w:val="single" w:color="auto" w:sz="8" w:space="0"/>
            </w:tcBorders>
            <w:vAlign w:val="center"/>
          </w:tcPr>
          <w:p>
            <w:pPr>
              <w:widowControl/>
              <w:spacing w:line="360" w:lineRule="auto"/>
              <w:jc w:val="center"/>
            </w:pPr>
            <w:r>
              <w:rPr>
                <w:rFonts w:hint="eastAsia"/>
              </w:rPr>
              <w:t>数量</w:t>
            </w:r>
          </w:p>
        </w:tc>
        <w:tc>
          <w:tcPr>
            <w:tcW w:w="1489" w:type="dxa"/>
            <w:tcBorders>
              <w:top w:val="single" w:color="auto" w:sz="8" w:space="0"/>
              <w:left w:val="nil"/>
              <w:bottom w:val="single" w:color="auto" w:sz="8" w:space="0"/>
              <w:right w:val="single" w:color="auto" w:sz="4" w:space="0"/>
            </w:tcBorders>
            <w:vAlign w:val="center"/>
          </w:tcPr>
          <w:p>
            <w:pPr>
              <w:widowControl/>
              <w:spacing w:line="360" w:lineRule="auto"/>
              <w:jc w:val="center"/>
            </w:pPr>
            <w:r>
              <w:rPr>
                <w:rFonts w:hint="eastAsia"/>
              </w:rPr>
              <w:t>规格型号</w:t>
            </w:r>
          </w:p>
        </w:tc>
        <w:tc>
          <w:tcPr>
            <w:tcW w:w="1744" w:type="dxa"/>
            <w:tcBorders>
              <w:top w:val="single" w:color="auto" w:sz="8" w:space="0"/>
              <w:left w:val="single" w:color="auto" w:sz="4" w:space="0"/>
              <w:bottom w:val="single" w:color="auto" w:sz="8" w:space="0"/>
              <w:right w:val="single" w:color="auto" w:sz="8" w:space="0"/>
            </w:tcBorders>
            <w:vAlign w:val="center"/>
          </w:tcPr>
          <w:p>
            <w:pPr>
              <w:widowControl/>
              <w:spacing w:line="360" w:lineRule="auto"/>
              <w:jc w:val="center"/>
            </w:pPr>
            <w:r>
              <w:rPr>
                <w:rFonts w:hint="eastAsia"/>
              </w:rPr>
              <w:t>生产厂家</w:t>
            </w:r>
          </w:p>
        </w:tc>
      </w:tr>
      <w:tr>
        <w:tblPrEx>
          <w:tblCellMar>
            <w:top w:w="0" w:type="dxa"/>
            <w:left w:w="108" w:type="dxa"/>
            <w:bottom w:w="0" w:type="dxa"/>
            <w:right w:w="108" w:type="dxa"/>
          </w:tblCellMar>
        </w:tblPrEx>
        <w:trPr>
          <w:trHeight w:val="300" w:hRule="atLeast"/>
        </w:trPr>
        <w:tc>
          <w:tcPr>
            <w:tcW w:w="724" w:type="dxa"/>
            <w:tcBorders>
              <w:top w:val="nil"/>
              <w:left w:val="single" w:color="auto" w:sz="8" w:space="0"/>
              <w:bottom w:val="single" w:color="auto" w:sz="8" w:space="0"/>
              <w:right w:val="single" w:color="auto" w:sz="8" w:space="0"/>
            </w:tcBorders>
            <w:vAlign w:val="center"/>
          </w:tcPr>
          <w:p>
            <w:pPr>
              <w:widowControl/>
              <w:spacing w:line="360" w:lineRule="auto"/>
              <w:jc w:val="center"/>
            </w:pPr>
            <w:r>
              <w:rPr>
                <w:rFonts w:hint="eastAsia"/>
                <w:szCs w:val="24"/>
              </w:rPr>
              <w:t>1</w:t>
            </w:r>
          </w:p>
        </w:tc>
        <w:tc>
          <w:tcPr>
            <w:tcW w:w="3402" w:type="dxa"/>
            <w:tcBorders>
              <w:top w:val="nil"/>
              <w:left w:val="nil"/>
              <w:bottom w:val="single" w:color="auto" w:sz="8" w:space="0"/>
              <w:right w:val="single" w:color="auto" w:sz="8" w:space="0"/>
            </w:tcBorders>
          </w:tcPr>
          <w:p>
            <w:pPr>
              <w:widowControl/>
              <w:spacing w:line="360" w:lineRule="auto"/>
            </w:pPr>
            <w:r>
              <w:rPr>
                <w:rFonts w:hint="eastAsia"/>
              </w:rPr>
              <w:t>管道</w:t>
            </w:r>
          </w:p>
        </w:tc>
        <w:tc>
          <w:tcPr>
            <w:tcW w:w="709" w:type="dxa"/>
            <w:tcBorders>
              <w:top w:val="nil"/>
              <w:left w:val="nil"/>
              <w:bottom w:val="single" w:color="auto" w:sz="8" w:space="0"/>
              <w:right w:val="single" w:color="auto" w:sz="8" w:space="0"/>
            </w:tcBorders>
            <w:vAlign w:val="center"/>
          </w:tcPr>
          <w:p>
            <w:pPr>
              <w:widowControl/>
              <w:spacing w:line="360" w:lineRule="auto"/>
              <w:jc w:val="center"/>
            </w:pPr>
            <w:r>
              <w:rPr>
                <w:rFonts w:hint="eastAsia"/>
              </w:rPr>
              <w:t>米</w:t>
            </w:r>
          </w:p>
        </w:tc>
        <w:tc>
          <w:tcPr>
            <w:tcW w:w="779" w:type="dxa"/>
            <w:tcBorders>
              <w:top w:val="nil"/>
              <w:left w:val="nil"/>
              <w:bottom w:val="single" w:color="auto" w:sz="8" w:space="0"/>
              <w:right w:val="single" w:color="auto" w:sz="8" w:space="0"/>
            </w:tcBorders>
            <w:vAlign w:val="center"/>
          </w:tcPr>
          <w:p>
            <w:pPr>
              <w:widowControl/>
              <w:spacing w:line="360" w:lineRule="auto"/>
              <w:jc w:val="center"/>
            </w:pPr>
          </w:p>
        </w:tc>
        <w:tc>
          <w:tcPr>
            <w:tcW w:w="1489" w:type="dxa"/>
            <w:tcBorders>
              <w:top w:val="nil"/>
              <w:left w:val="nil"/>
              <w:bottom w:val="single" w:color="auto" w:sz="8" w:space="0"/>
              <w:right w:val="single" w:color="auto" w:sz="4" w:space="0"/>
            </w:tcBorders>
            <w:vAlign w:val="center"/>
          </w:tcPr>
          <w:p>
            <w:pPr>
              <w:widowControl/>
              <w:spacing w:line="360" w:lineRule="auto"/>
              <w:jc w:val="center"/>
              <w:rPr>
                <w:szCs w:val="24"/>
              </w:rPr>
            </w:pPr>
          </w:p>
        </w:tc>
        <w:tc>
          <w:tcPr>
            <w:tcW w:w="1744" w:type="dxa"/>
            <w:tcBorders>
              <w:top w:val="nil"/>
              <w:left w:val="single" w:color="auto" w:sz="4" w:space="0"/>
              <w:bottom w:val="single" w:color="auto" w:sz="8" w:space="0"/>
              <w:right w:val="single" w:color="auto" w:sz="8" w:space="0"/>
            </w:tcBorders>
            <w:vAlign w:val="center"/>
          </w:tcPr>
          <w:p>
            <w:pPr>
              <w:widowControl/>
              <w:spacing w:line="360" w:lineRule="auto"/>
              <w:ind w:firstLine="220" w:firstLineChars="100"/>
              <w:jc w:val="both"/>
              <w:rPr>
                <w:szCs w:val="24"/>
              </w:rPr>
            </w:pPr>
          </w:p>
        </w:tc>
      </w:tr>
      <w:tr>
        <w:tblPrEx>
          <w:tblCellMar>
            <w:top w:w="0" w:type="dxa"/>
            <w:left w:w="108" w:type="dxa"/>
            <w:bottom w:w="0" w:type="dxa"/>
            <w:right w:w="108" w:type="dxa"/>
          </w:tblCellMar>
        </w:tblPrEx>
        <w:trPr>
          <w:trHeight w:val="300" w:hRule="atLeast"/>
        </w:trPr>
        <w:tc>
          <w:tcPr>
            <w:tcW w:w="724" w:type="dxa"/>
            <w:tcBorders>
              <w:top w:val="nil"/>
              <w:left w:val="single" w:color="auto" w:sz="8" w:space="0"/>
              <w:bottom w:val="single" w:color="auto" w:sz="8" w:space="0"/>
              <w:right w:val="single" w:color="auto" w:sz="8" w:space="0"/>
            </w:tcBorders>
            <w:vAlign w:val="center"/>
          </w:tcPr>
          <w:p>
            <w:pPr>
              <w:widowControl/>
              <w:spacing w:line="360" w:lineRule="auto"/>
              <w:jc w:val="center"/>
            </w:pPr>
            <w:r>
              <w:rPr>
                <w:rFonts w:hint="eastAsia"/>
                <w:szCs w:val="24"/>
              </w:rPr>
              <w:t>2</w:t>
            </w:r>
          </w:p>
        </w:tc>
        <w:tc>
          <w:tcPr>
            <w:tcW w:w="3402" w:type="dxa"/>
            <w:tcBorders>
              <w:top w:val="nil"/>
              <w:left w:val="nil"/>
              <w:bottom w:val="single" w:color="auto" w:sz="8" w:space="0"/>
              <w:right w:val="single" w:color="auto" w:sz="8" w:space="0"/>
            </w:tcBorders>
          </w:tcPr>
          <w:p>
            <w:pPr>
              <w:widowControl/>
              <w:spacing w:line="360" w:lineRule="auto"/>
            </w:pPr>
            <w:r>
              <w:rPr>
                <w:rFonts w:hint="eastAsia"/>
              </w:rPr>
              <w:t>手动隔断门</w:t>
            </w:r>
          </w:p>
        </w:tc>
        <w:tc>
          <w:tcPr>
            <w:tcW w:w="709" w:type="dxa"/>
            <w:tcBorders>
              <w:top w:val="nil"/>
              <w:left w:val="nil"/>
              <w:bottom w:val="single" w:color="auto" w:sz="8" w:space="0"/>
              <w:right w:val="single" w:color="auto" w:sz="8" w:space="0"/>
            </w:tcBorders>
            <w:vAlign w:val="center"/>
          </w:tcPr>
          <w:p>
            <w:pPr>
              <w:widowControl/>
              <w:spacing w:line="360" w:lineRule="auto"/>
              <w:jc w:val="center"/>
            </w:pPr>
            <w:r>
              <w:rPr>
                <w:rFonts w:hint="eastAsia"/>
              </w:rPr>
              <w:t>台</w:t>
            </w:r>
          </w:p>
        </w:tc>
        <w:tc>
          <w:tcPr>
            <w:tcW w:w="779" w:type="dxa"/>
            <w:tcBorders>
              <w:top w:val="nil"/>
              <w:left w:val="nil"/>
              <w:bottom w:val="single" w:color="auto" w:sz="8" w:space="0"/>
              <w:right w:val="single" w:color="auto" w:sz="8" w:space="0"/>
            </w:tcBorders>
            <w:vAlign w:val="center"/>
          </w:tcPr>
          <w:p>
            <w:pPr>
              <w:widowControl/>
              <w:spacing w:line="360" w:lineRule="auto"/>
              <w:jc w:val="center"/>
            </w:pPr>
          </w:p>
        </w:tc>
        <w:tc>
          <w:tcPr>
            <w:tcW w:w="1489" w:type="dxa"/>
            <w:tcBorders>
              <w:top w:val="nil"/>
              <w:left w:val="nil"/>
              <w:bottom w:val="single" w:color="auto" w:sz="8" w:space="0"/>
              <w:right w:val="single" w:color="auto" w:sz="4" w:space="0"/>
            </w:tcBorders>
            <w:vAlign w:val="center"/>
          </w:tcPr>
          <w:p>
            <w:pPr>
              <w:widowControl/>
              <w:spacing w:line="360" w:lineRule="auto"/>
              <w:jc w:val="center"/>
              <w:rPr>
                <w:szCs w:val="24"/>
              </w:rPr>
            </w:pPr>
          </w:p>
        </w:tc>
        <w:tc>
          <w:tcPr>
            <w:tcW w:w="1744" w:type="dxa"/>
            <w:tcBorders>
              <w:top w:val="nil"/>
              <w:left w:val="single" w:color="auto" w:sz="4" w:space="0"/>
              <w:bottom w:val="single" w:color="auto" w:sz="8" w:space="0"/>
              <w:right w:val="single" w:color="auto" w:sz="8" w:space="0"/>
            </w:tcBorders>
            <w:vAlign w:val="center"/>
          </w:tcPr>
          <w:p>
            <w:pPr>
              <w:widowControl/>
              <w:spacing w:line="360" w:lineRule="auto"/>
              <w:jc w:val="center"/>
              <w:rPr>
                <w:szCs w:val="24"/>
              </w:rPr>
            </w:pPr>
          </w:p>
        </w:tc>
      </w:tr>
      <w:tr>
        <w:trPr>
          <w:trHeight w:val="465" w:hRule="atLeast"/>
        </w:trPr>
        <w:tc>
          <w:tcPr>
            <w:tcW w:w="724" w:type="dxa"/>
            <w:tcBorders>
              <w:top w:val="nil"/>
              <w:left w:val="single" w:color="auto" w:sz="8" w:space="0"/>
              <w:bottom w:val="single" w:color="auto" w:sz="4" w:space="0"/>
              <w:right w:val="single" w:color="auto" w:sz="8" w:space="0"/>
            </w:tcBorders>
            <w:vAlign w:val="center"/>
          </w:tcPr>
          <w:p>
            <w:pPr>
              <w:widowControl/>
              <w:spacing w:line="360" w:lineRule="auto"/>
              <w:jc w:val="center"/>
            </w:pPr>
            <w:r>
              <w:rPr>
                <w:rFonts w:hint="eastAsia"/>
                <w:szCs w:val="24"/>
              </w:rPr>
              <w:t>3</w:t>
            </w:r>
          </w:p>
        </w:tc>
        <w:tc>
          <w:tcPr>
            <w:tcW w:w="3402" w:type="dxa"/>
            <w:tcBorders>
              <w:top w:val="nil"/>
              <w:left w:val="nil"/>
              <w:bottom w:val="single" w:color="auto" w:sz="4" w:space="0"/>
              <w:right w:val="single" w:color="auto" w:sz="8" w:space="0"/>
            </w:tcBorders>
          </w:tcPr>
          <w:p>
            <w:pPr>
              <w:widowControl/>
              <w:spacing w:line="360" w:lineRule="auto"/>
            </w:pPr>
            <w:r>
              <w:rPr>
                <w:rFonts w:hint="eastAsia"/>
              </w:rPr>
              <w:t>止回阀</w:t>
            </w:r>
          </w:p>
        </w:tc>
        <w:tc>
          <w:tcPr>
            <w:tcW w:w="709" w:type="dxa"/>
            <w:tcBorders>
              <w:top w:val="nil"/>
              <w:left w:val="nil"/>
              <w:bottom w:val="single" w:color="auto" w:sz="4" w:space="0"/>
              <w:right w:val="single" w:color="auto" w:sz="8" w:space="0"/>
            </w:tcBorders>
            <w:vAlign w:val="center"/>
          </w:tcPr>
          <w:p>
            <w:pPr>
              <w:widowControl/>
              <w:spacing w:line="360" w:lineRule="auto"/>
              <w:jc w:val="center"/>
            </w:pPr>
            <w:r>
              <w:rPr>
                <w:rFonts w:hint="eastAsia"/>
              </w:rPr>
              <w:t>台</w:t>
            </w:r>
          </w:p>
        </w:tc>
        <w:tc>
          <w:tcPr>
            <w:tcW w:w="779" w:type="dxa"/>
            <w:tcBorders>
              <w:top w:val="nil"/>
              <w:left w:val="nil"/>
              <w:bottom w:val="single" w:color="auto" w:sz="4" w:space="0"/>
              <w:right w:val="single" w:color="auto" w:sz="8" w:space="0"/>
            </w:tcBorders>
            <w:vAlign w:val="center"/>
          </w:tcPr>
          <w:p>
            <w:pPr>
              <w:widowControl/>
              <w:spacing w:line="360" w:lineRule="auto"/>
              <w:jc w:val="center"/>
            </w:pPr>
          </w:p>
        </w:tc>
        <w:tc>
          <w:tcPr>
            <w:tcW w:w="1489" w:type="dxa"/>
            <w:tcBorders>
              <w:top w:val="nil"/>
              <w:left w:val="nil"/>
              <w:bottom w:val="single" w:color="auto" w:sz="4" w:space="0"/>
              <w:right w:val="single" w:color="auto" w:sz="4" w:space="0"/>
            </w:tcBorders>
            <w:vAlign w:val="center"/>
          </w:tcPr>
          <w:p>
            <w:pPr>
              <w:widowControl/>
              <w:spacing w:line="360" w:lineRule="auto"/>
              <w:jc w:val="center"/>
              <w:rPr>
                <w:szCs w:val="24"/>
              </w:rPr>
            </w:pPr>
          </w:p>
        </w:tc>
        <w:tc>
          <w:tcPr>
            <w:tcW w:w="1744" w:type="dxa"/>
            <w:tcBorders>
              <w:top w:val="nil"/>
              <w:left w:val="single" w:color="auto" w:sz="4" w:space="0"/>
              <w:bottom w:val="single" w:color="auto" w:sz="4" w:space="0"/>
              <w:right w:val="single" w:color="auto" w:sz="8" w:space="0"/>
            </w:tcBorders>
            <w:vAlign w:val="center"/>
          </w:tcPr>
          <w:p>
            <w:pPr>
              <w:widowControl/>
              <w:spacing w:line="360" w:lineRule="auto"/>
              <w:jc w:val="center"/>
              <w:rPr>
                <w:szCs w:val="24"/>
              </w:rPr>
            </w:pPr>
          </w:p>
        </w:tc>
      </w:tr>
      <w:tr>
        <w:tblPrEx>
          <w:tblCellMar>
            <w:top w:w="0" w:type="dxa"/>
            <w:left w:w="108" w:type="dxa"/>
            <w:bottom w:w="0" w:type="dxa"/>
            <w:right w:w="108" w:type="dxa"/>
          </w:tblCellMar>
        </w:tblPrEx>
        <w:trPr>
          <w:trHeight w:val="465" w:hRule="atLeast"/>
        </w:trPr>
        <w:tc>
          <w:tcPr>
            <w:tcW w:w="724" w:type="dxa"/>
            <w:tcBorders>
              <w:top w:val="single" w:color="auto" w:sz="4" w:space="0"/>
              <w:left w:val="single" w:color="auto" w:sz="8" w:space="0"/>
              <w:bottom w:val="single" w:color="auto" w:sz="4" w:space="0"/>
              <w:right w:val="single" w:color="auto" w:sz="8" w:space="0"/>
            </w:tcBorders>
            <w:vAlign w:val="center"/>
          </w:tcPr>
          <w:p>
            <w:pPr>
              <w:widowControl/>
              <w:spacing w:line="360" w:lineRule="auto"/>
              <w:jc w:val="center"/>
              <w:rPr>
                <w:szCs w:val="24"/>
              </w:rPr>
            </w:pPr>
          </w:p>
        </w:tc>
        <w:tc>
          <w:tcPr>
            <w:tcW w:w="3402" w:type="dxa"/>
            <w:tcBorders>
              <w:top w:val="single" w:color="auto" w:sz="4" w:space="0"/>
              <w:left w:val="nil"/>
              <w:bottom w:val="single" w:color="auto" w:sz="4" w:space="0"/>
              <w:right w:val="single" w:color="auto" w:sz="8" w:space="0"/>
            </w:tcBorders>
          </w:tcPr>
          <w:p>
            <w:pPr>
              <w:widowControl/>
              <w:spacing w:line="360" w:lineRule="auto"/>
              <w:rPr>
                <w:szCs w:val="24"/>
              </w:rPr>
            </w:pPr>
          </w:p>
        </w:tc>
        <w:tc>
          <w:tcPr>
            <w:tcW w:w="709" w:type="dxa"/>
            <w:tcBorders>
              <w:top w:val="single" w:color="auto" w:sz="4" w:space="0"/>
              <w:left w:val="nil"/>
              <w:bottom w:val="single" w:color="auto" w:sz="4" w:space="0"/>
              <w:right w:val="single" w:color="auto" w:sz="8" w:space="0"/>
            </w:tcBorders>
            <w:vAlign w:val="center"/>
          </w:tcPr>
          <w:p>
            <w:pPr>
              <w:widowControl/>
              <w:spacing w:line="360" w:lineRule="auto"/>
              <w:jc w:val="center"/>
            </w:pPr>
          </w:p>
        </w:tc>
        <w:tc>
          <w:tcPr>
            <w:tcW w:w="779" w:type="dxa"/>
            <w:tcBorders>
              <w:top w:val="single" w:color="auto" w:sz="4" w:space="0"/>
              <w:left w:val="nil"/>
              <w:bottom w:val="single" w:color="auto" w:sz="4" w:space="0"/>
              <w:right w:val="single" w:color="auto" w:sz="8" w:space="0"/>
            </w:tcBorders>
            <w:vAlign w:val="center"/>
          </w:tcPr>
          <w:p>
            <w:pPr>
              <w:widowControl/>
              <w:spacing w:line="360" w:lineRule="auto"/>
              <w:jc w:val="center"/>
            </w:pPr>
          </w:p>
        </w:tc>
        <w:tc>
          <w:tcPr>
            <w:tcW w:w="1489" w:type="dxa"/>
            <w:tcBorders>
              <w:top w:val="single" w:color="auto" w:sz="4" w:space="0"/>
              <w:left w:val="nil"/>
              <w:bottom w:val="single" w:color="auto" w:sz="4" w:space="0"/>
              <w:right w:val="single" w:color="auto" w:sz="4" w:space="0"/>
            </w:tcBorders>
            <w:vAlign w:val="center"/>
          </w:tcPr>
          <w:p>
            <w:pPr>
              <w:widowControl/>
              <w:spacing w:line="360" w:lineRule="auto"/>
              <w:jc w:val="center"/>
              <w:rPr>
                <w:szCs w:val="24"/>
              </w:rPr>
            </w:pPr>
          </w:p>
        </w:tc>
        <w:tc>
          <w:tcPr>
            <w:tcW w:w="1744" w:type="dxa"/>
            <w:tcBorders>
              <w:top w:val="single" w:color="auto" w:sz="4" w:space="0"/>
              <w:left w:val="single" w:color="auto" w:sz="4" w:space="0"/>
              <w:bottom w:val="single" w:color="auto" w:sz="4" w:space="0"/>
              <w:right w:val="single" w:color="auto" w:sz="8" w:space="0"/>
            </w:tcBorders>
            <w:vAlign w:val="center"/>
          </w:tcPr>
          <w:p>
            <w:pPr>
              <w:widowControl/>
              <w:spacing w:line="360" w:lineRule="auto"/>
              <w:jc w:val="center"/>
              <w:rPr>
                <w:szCs w:val="24"/>
              </w:rPr>
            </w:pPr>
          </w:p>
        </w:tc>
      </w:tr>
      <w:tr>
        <w:trPr>
          <w:trHeight w:val="465" w:hRule="atLeast"/>
        </w:trPr>
        <w:tc>
          <w:tcPr>
            <w:tcW w:w="724" w:type="dxa"/>
            <w:tcBorders>
              <w:top w:val="single" w:color="auto" w:sz="4" w:space="0"/>
              <w:left w:val="single" w:color="auto" w:sz="8" w:space="0"/>
              <w:bottom w:val="single" w:color="auto" w:sz="4" w:space="0"/>
              <w:right w:val="single" w:color="auto" w:sz="8" w:space="0"/>
            </w:tcBorders>
            <w:vAlign w:val="center"/>
          </w:tcPr>
          <w:p>
            <w:pPr>
              <w:widowControl/>
              <w:spacing w:line="360" w:lineRule="auto"/>
              <w:jc w:val="center"/>
              <w:rPr>
                <w:szCs w:val="24"/>
              </w:rPr>
            </w:pPr>
          </w:p>
        </w:tc>
        <w:tc>
          <w:tcPr>
            <w:tcW w:w="3402" w:type="dxa"/>
            <w:tcBorders>
              <w:top w:val="single" w:color="auto" w:sz="4" w:space="0"/>
              <w:left w:val="nil"/>
              <w:bottom w:val="single" w:color="auto" w:sz="4" w:space="0"/>
              <w:right w:val="single" w:color="auto" w:sz="8" w:space="0"/>
            </w:tcBorders>
          </w:tcPr>
          <w:p>
            <w:pPr>
              <w:widowControl/>
              <w:spacing w:line="360" w:lineRule="auto"/>
              <w:rPr>
                <w:szCs w:val="24"/>
              </w:rPr>
            </w:pPr>
          </w:p>
        </w:tc>
        <w:tc>
          <w:tcPr>
            <w:tcW w:w="709" w:type="dxa"/>
            <w:tcBorders>
              <w:top w:val="single" w:color="auto" w:sz="4" w:space="0"/>
              <w:left w:val="nil"/>
              <w:bottom w:val="single" w:color="auto" w:sz="4" w:space="0"/>
              <w:right w:val="single" w:color="auto" w:sz="8" w:space="0"/>
            </w:tcBorders>
            <w:vAlign w:val="center"/>
          </w:tcPr>
          <w:p>
            <w:pPr>
              <w:widowControl/>
              <w:spacing w:line="360" w:lineRule="auto"/>
              <w:jc w:val="center"/>
            </w:pPr>
          </w:p>
        </w:tc>
        <w:tc>
          <w:tcPr>
            <w:tcW w:w="779" w:type="dxa"/>
            <w:tcBorders>
              <w:top w:val="single" w:color="auto" w:sz="4" w:space="0"/>
              <w:left w:val="nil"/>
              <w:bottom w:val="single" w:color="auto" w:sz="4" w:space="0"/>
              <w:right w:val="single" w:color="auto" w:sz="8" w:space="0"/>
            </w:tcBorders>
            <w:vAlign w:val="center"/>
          </w:tcPr>
          <w:p>
            <w:pPr>
              <w:widowControl/>
              <w:spacing w:line="360" w:lineRule="auto"/>
              <w:jc w:val="center"/>
            </w:pPr>
          </w:p>
        </w:tc>
        <w:tc>
          <w:tcPr>
            <w:tcW w:w="1489" w:type="dxa"/>
            <w:tcBorders>
              <w:top w:val="single" w:color="auto" w:sz="4" w:space="0"/>
              <w:left w:val="nil"/>
              <w:bottom w:val="single" w:color="auto" w:sz="4" w:space="0"/>
              <w:right w:val="single" w:color="auto" w:sz="4" w:space="0"/>
            </w:tcBorders>
            <w:vAlign w:val="center"/>
          </w:tcPr>
          <w:p>
            <w:pPr>
              <w:widowControl/>
              <w:spacing w:line="360" w:lineRule="auto"/>
              <w:jc w:val="center"/>
              <w:rPr>
                <w:szCs w:val="24"/>
              </w:rPr>
            </w:pPr>
          </w:p>
        </w:tc>
        <w:tc>
          <w:tcPr>
            <w:tcW w:w="1744" w:type="dxa"/>
            <w:tcBorders>
              <w:top w:val="single" w:color="auto" w:sz="4" w:space="0"/>
              <w:left w:val="single" w:color="auto" w:sz="4" w:space="0"/>
              <w:bottom w:val="single" w:color="auto" w:sz="4" w:space="0"/>
              <w:right w:val="single" w:color="auto" w:sz="8" w:space="0"/>
            </w:tcBorders>
            <w:vAlign w:val="center"/>
          </w:tcPr>
          <w:p>
            <w:pPr>
              <w:widowControl/>
              <w:spacing w:line="360" w:lineRule="auto"/>
              <w:jc w:val="center"/>
              <w:rPr>
                <w:szCs w:val="24"/>
              </w:rPr>
            </w:pPr>
          </w:p>
        </w:tc>
      </w:tr>
    </w:tbl>
    <w:p>
      <w:pPr>
        <w:pStyle w:val="253"/>
      </w:pPr>
    </w:p>
    <w:p>
      <w:pPr>
        <w:snapToGrid w:val="0"/>
        <w:spacing w:line="360" w:lineRule="auto"/>
      </w:pPr>
      <w:r>
        <w:rPr>
          <w:rFonts w:hint="eastAsia"/>
        </w:rPr>
        <w:t>4</w:t>
      </w:r>
      <w:r>
        <w:t xml:space="preserve">.2 </w:t>
      </w:r>
      <w:r>
        <w:rPr>
          <w:rFonts w:hint="eastAsia"/>
        </w:rPr>
        <w:t>随机备品备件清单</w:t>
      </w:r>
    </w:p>
    <w:tbl>
      <w:tblPr>
        <w:tblStyle w:val="6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2"/>
        <w:gridCol w:w="1938"/>
        <w:gridCol w:w="1843"/>
        <w:gridCol w:w="703"/>
        <w:gridCol w:w="714"/>
        <w:gridCol w:w="736"/>
        <w:gridCol w:w="1200"/>
        <w:gridCol w:w="9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2" w:type="dxa"/>
            <w:vAlign w:val="center"/>
          </w:tcPr>
          <w:p>
            <w:pPr>
              <w:snapToGrid w:val="0"/>
              <w:spacing w:line="360" w:lineRule="auto"/>
              <w:ind w:left="-110" w:leftChars="-50" w:right="-110" w:rightChars="-50"/>
              <w:jc w:val="center"/>
              <w:rPr>
                <w:bCs/>
                <w:sz w:val="21"/>
                <w:szCs w:val="21"/>
              </w:rPr>
            </w:pPr>
            <w:r>
              <w:rPr>
                <w:rFonts w:hint="eastAsia"/>
                <w:bCs/>
                <w:sz w:val="21"/>
                <w:szCs w:val="21"/>
              </w:rPr>
              <w:t>序号</w:t>
            </w:r>
          </w:p>
        </w:tc>
        <w:tc>
          <w:tcPr>
            <w:tcW w:w="1938" w:type="dxa"/>
            <w:vAlign w:val="center"/>
          </w:tcPr>
          <w:p>
            <w:pPr>
              <w:snapToGrid w:val="0"/>
              <w:spacing w:line="360" w:lineRule="auto"/>
              <w:jc w:val="center"/>
              <w:rPr>
                <w:bCs/>
                <w:sz w:val="21"/>
                <w:szCs w:val="21"/>
              </w:rPr>
            </w:pPr>
            <w:r>
              <w:rPr>
                <w:rFonts w:hint="eastAsia"/>
                <w:bCs/>
                <w:sz w:val="21"/>
                <w:szCs w:val="21"/>
              </w:rPr>
              <w:t>名称</w:t>
            </w:r>
          </w:p>
        </w:tc>
        <w:tc>
          <w:tcPr>
            <w:tcW w:w="1843" w:type="dxa"/>
            <w:vAlign w:val="center"/>
          </w:tcPr>
          <w:p>
            <w:pPr>
              <w:snapToGrid w:val="0"/>
              <w:spacing w:line="360" w:lineRule="auto"/>
              <w:jc w:val="center"/>
              <w:rPr>
                <w:bCs/>
                <w:sz w:val="21"/>
                <w:szCs w:val="21"/>
              </w:rPr>
            </w:pPr>
            <w:r>
              <w:rPr>
                <w:rFonts w:hint="eastAsia"/>
                <w:bCs/>
                <w:sz w:val="21"/>
                <w:szCs w:val="21"/>
              </w:rPr>
              <w:t>规格</w:t>
            </w:r>
          </w:p>
        </w:tc>
        <w:tc>
          <w:tcPr>
            <w:tcW w:w="703" w:type="dxa"/>
            <w:vAlign w:val="center"/>
          </w:tcPr>
          <w:p>
            <w:pPr>
              <w:snapToGrid w:val="0"/>
              <w:spacing w:line="360" w:lineRule="auto"/>
              <w:jc w:val="center"/>
              <w:rPr>
                <w:bCs/>
                <w:sz w:val="21"/>
                <w:szCs w:val="21"/>
              </w:rPr>
            </w:pPr>
            <w:r>
              <w:rPr>
                <w:rFonts w:hint="eastAsia"/>
                <w:bCs/>
                <w:sz w:val="21"/>
                <w:szCs w:val="21"/>
              </w:rPr>
              <w:t>单位</w:t>
            </w:r>
          </w:p>
        </w:tc>
        <w:tc>
          <w:tcPr>
            <w:tcW w:w="714" w:type="dxa"/>
            <w:vAlign w:val="center"/>
          </w:tcPr>
          <w:p>
            <w:pPr>
              <w:snapToGrid w:val="0"/>
              <w:spacing w:line="360" w:lineRule="auto"/>
              <w:jc w:val="center"/>
              <w:rPr>
                <w:bCs/>
                <w:sz w:val="21"/>
                <w:szCs w:val="21"/>
              </w:rPr>
            </w:pPr>
            <w:r>
              <w:rPr>
                <w:rFonts w:hint="eastAsia"/>
                <w:bCs/>
                <w:sz w:val="21"/>
                <w:szCs w:val="21"/>
              </w:rPr>
              <w:t>数量</w:t>
            </w:r>
          </w:p>
        </w:tc>
        <w:tc>
          <w:tcPr>
            <w:tcW w:w="736" w:type="dxa"/>
            <w:vAlign w:val="center"/>
          </w:tcPr>
          <w:p>
            <w:pPr>
              <w:snapToGrid w:val="0"/>
              <w:spacing w:line="360" w:lineRule="auto"/>
              <w:jc w:val="center"/>
              <w:rPr>
                <w:bCs/>
                <w:sz w:val="21"/>
                <w:szCs w:val="21"/>
              </w:rPr>
            </w:pPr>
            <w:r>
              <w:rPr>
                <w:rFonts w:hint="eastAsia"/>
                <w:bCs/>
                <w:sz w:val="21"/>
                <w:szCs w:val="21"/>
              </w:rPr>
              <w:t>产地</w:t>
            </w:r>
          </w:p>
        </w:tc>
        <w:tc>
          <w:tcPr>
            <w:tcW w:w="1200" w:type="dxa"/>
            <w:vAlign w:val="center"/>
          </w:tcPr>
          <w:p>
            <w:pPr>
              <w:snapToGrid w:val="0"/>
              <w:spacing w:line="360" w:lineRule="auto"/>
              <w:jc w:val="center"/>
              <w:rPr>
                <w:bCs/>
                <w:sz w:val="21"/>
                <w:szCs w:val="21"/>
              </w:rPr>
            </w:pPr>
            <w:r>
              <w:rPr>
                <w:rFonts w:hint="eastAsia"/>
                <w:bCs/>
                <w:sz w:val="21"/>
                <w:szCs w:val="21"/>
              </w:rPr>
              <w:t>生产厂家</w:t>
            </w:r>
          </w:p>
        </w:tc>
        <w:tc>
          <w:tcPr>
            <w:tcW w:w="957" w:type="dxa"/>
            <w:vAlign w:val="center"/>
          </w:tcPr>
          <w:p>
            <w:pPr>
              <w:snapToGrid w:val="0"/>
              <w:spacing w:line="360" w:lineRule="auto"/>
              <w:jc w:val="center"/>
              <w:rPr>
                <w:bCs/>
                <w:sz w:val="21"/>
                <w:szCs w:val="21"/>
              </w:rPr>
            </w:pPr>
            <w:r>
              <w:rPr>
                <w:rFonts w:hint="eastAsia"/>
                <w:bCs/>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2" w:type="dxa"/>
            <w:vAlign w:val="center"/>
          </w:tcPr>
          <w:p>
            <w:pPr>
              <w:snapToGrid w:val="0"/>
              <w:spacing w:line="360" w:lineRule="auto"/>
              <w:jc w:val="center"/>
              <w:rPr>
                <w:bCs/>
                <w:sz w:val="21"/>
                <w:szCs w:val="21"/>
              </w:rPr>
            </w:pPr>
            <w:r>
              <w:rPr>
                <w:rFonts w:hint="eastAsia"/>
                <w:bCs/>
                <w:sz w:val="21"/>
                <w:szCs w:val="21"/>
              </w:rPr>
              <w:t>1</w:t>
            </w:r>
          </w:p>
        </w:tc>
        <w:tc>
          <w:tcPr>
            <w:tcW w:w="1938" w:type="dxa"/>
            <w:vAlign w:val="center"/>
          </w:tcPr>
          <w:p>
            <w:pPr>
              <w:spacing w:line="360" w:lineRule="auto"/>
              <w:jc w:val="center"/>
              <w:rPr>
                <w:sz w:val="21"/>
                <w:szCs w:val="21"/>
              </w:rPr>
            </w:pPr>
          </w:p>
        </w:tc>
        <w:tc>
          <w:tcPr>
            <w:tcW w:w="1843" w:type="dxa"/>
            <w:vAlign w:val="center"/>
          </w:tcPr>
          <w:p>
            <w:pPr>
              <w:spacing w:line="360" w:lineRule="auto"/>
              <w:jc w:val="center"/>
              <w:rPr>
                <w:sz w:val="21"/>
                <w:szCs w:val="21"/>
              </w:rPr>
            </w:pPr>
          </w:p>
        </w:tc>
        <w:tc>
          <w:tcPr>
            <w:tcW w:w="703" w:type="dxa"/>
            <w:vAlign w:val="center"/>
          </w:tcPr>
          <w:p>
            <w:pPr>
              <w:spacing w:line="360" w:lineRule="auto"/>
              <w:jc w:val="center"/>
              <w:rPr>
                <w:sz w:val="21"/>
                <w:szCs w:val="21"/>
              </w:rPr>
            </w:pPr>
          </w:p>
        </w:tc>
        <w:tc>
          <w:tcPr>
            <w:tcW w:w="714" w:type="dxa"/>
            <w:vAlign w:val="center"/>
          </w:tcPr>
          <w:p>
            <w:pPr>
              <w:spacing w:line="360" w:lineRule="auto"/>
              <w:jc w:val="center"/>
              <w:rPr>
                <w:sz w:val="21"/>
                <w:szCs w:val="21"/>
              </w:rPr>
            </w:pPr>
          </w:p>
        </w:tc>
        <w:tc>
          <w:tcPr>
            <w:tcW w:w="736" w:type="dxa"/>
            <w:vAlign w:val="center"/>
          </w:tcPr>
          <w:p>
            <w:pPr>
              <w:spacing w:line="360" w:lineRule="auto"/>
              <w:jc w:val="center"/>
              <w:rPr>
                <w:sz w:val="21"/>
                <w:szCs w:val="21"/>
              </w:rPr>
            </w:pPr>
          </w:p>
        </w:tc>
        <w:tc>
          <w:tcPr>
            <w:tcW w:w="1200" w:type="dxa"/>
            <w:vAlign w:val="center"/>
          </w:tcPr>
          <w:p>
            <w:pPr>
              <w:spacing w:line="360" w:lineRule="auto"/>
              <w:jc w:val="center"/>
              <w:rPr>
                <w:bCs/>
                <w:sz w:val="21"/>
                <w:szCs w:val="21"/>
              </w:rPr>
            </w:pPr>
          </w:p>
        </w:tc>
        <w:tc>
          <w:tcPr>
            <w:tcW w:w="957" w:type="dxa"/>
            <w:vAlign w:val="center"/>
          </w:tcPr>
          <w:p>
            <w:pPr>
              <w:snapToGrid w:val="0"/>
              <w:spacing w:line="360" w:lineRule="auto"/>
              <w:jc w:val="center"/>
              <w:rPr>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2" w:type="dxa"/>
            <w:vAlign w:val="center"/>
          </w:tcPr>
          <w:p>
            <w:pPr>
              <w:snapToGrid w:val="0"/>
              <w:spacing w:line="360" w:lineRule="auto"/>
              <w:jc w:val="center"/>
              <w:rPr>
                <w:bCs/>
                <w:sz w:val="21"/>
                <w:szCs w:val="21"/>
              </w:rPr>
            </w:pPr>
            <w:r>
              <w:rPr>
                <w:rFonts w:hint="eastAsia"/>
                <w:bCs/>
                <w:sz w:val="21"/>
                <w:szCs w:val="21"/>
              </w:rPr>
              <w:t>2</w:t>
            </w:r>
          </w:p>
        </w:tc>
        <w:tc>
          <w:tcPr>
            <w:tcW w:w="1938" w:type="dxa"/>
            <w:vAlign w:val="center"/>
          </w:tcPr>
          <w:p>
            <w:pPr>
              <w:jc w:val="center"/>
              <w:rPr>
                <w:sz w:val="21"/>
                <w:szCs w:val="21"/>
              </w:rPr>
            </w:pPr>
          </w:p>
        </w:tc>
        <w:tc>
          <w:tcPr>
            <w:tcW w:w="1843" w:type="dxa"/>
            <w:vAlign w:val="center"/>
          </w:tcPr>
          <w:p>
            <w:pPr>
              <w:spacing w:line="360" w:lineRule="auto"/>
              <w:jc w:val="center"/>
              <w:rPr>
                <w:sz w:val="21"/>
                <w:szCs w:val="21"/>
              </w:rPr>
            </w:pPr>
          </w:p>
        </w:tc>
        <w:tc>
          <w:tcPr>
            <w:tcW w:w="703" w:type="dxa"/>
            <w:vAlign w:val="center"/>
          </w:tcPr>
          <w:p>
            <w:pPr>
              <w:spacing w:line="360" w:lineRule="auto"/>
              <w:jc w:val="center"/>
              <w:rPr>
                <w:sz w:val="21"/>
                <w:szCs w:val="21"/>
              </w:rPr>
            </w:pPr>
          </w:p>
        </w:tc>
        <w:tc>
          <w:tcPr>
            <w:tcW w:w="714" w:type="dxa"/>
            <w:vAlign w:val="center"/>
          </w:tcPr>
          <w:p>
            <w:pPr>
              <w:spacing w:line="360" w:lineRule="auto"/>
              <w:jc w:val="center"/>
              <w:rPr>
                <w:sz w:val="21"/>
                <w:szCs w:val="21"/>
              </w:rPr>
            </w:pPr>
          </w:p>
        </w:tc>
        <w:tc>
          <w:tcPr>
            <w:tcW w:w="736" w:type="dxa"/>
            <w:vAlign w:val="center"/>
          </w:tcPr>
          <w:p>
            <w:pPr>
              <w:spacing w:line="360" w:lineRule="auto"/>
              <w:jc w:val="center"/>
              <w:rPr>
                <w:sz w:val="21"/>
                <w:szCs w:val="21"/>
              </w:rPr>
            </w:pPr>
          </w:p>
        </w:tc>
        <w:tc>
          <w:tcPr>
            <w:tcW w:w="1200" w:type="dxa"/>
            <w:vAlign w:val="center"/>
          </w:tcPr>
          <w:p>
            <w:pPr>
              <w:spacing w:line="360" w:lineRule="auto"/>
              <w:jc w:val="center"/>
              <w:rPr>
                <w:bCs/>
                <w:sz w:val="21"/>
                <w:szCs w:val="21"/>
              </w:rPr>
            </w:pPr>
          </w:p>
        </w:tc>
        <w:tc>
          <w:tcPr>
            <w:tcW w:w="957" w:type="dxa"/>
            <w:vAlign w:val="center"/>
          </w:tcPr>
          <w:p>
            <w:pPr>
              <w:snapToGrid w:val="0"/>
              <w:spacing w:line="360" w:lineRule="auto"/>
              <w:jc w:val="center"/>
              <w:rPr>
                <w:bCs/>
                <w:sz w:val="21"/>
                <w:szCs w:val="21"/>
              </w:rPr>
            </w:pPr>
          </w:p>
        </w:tc>
      </w:tr>
    </w:tbl>
    <w:p>
      <w:pPr>
        <w:snapToGrid w:val="0"/>
        <w:spacing w:line="360" w:lineRule="auto"/>
        <w:rPr>
          <w:bCs/>
        </w:rPr>
      </w:pPr>
    </w:p>
    <w:p>
      <w:pPr>
        <w:snapToGrid w:val="0"/>
        <w:spacing w:line="360" w:lineRule="auto"/>
        <w:rPr>
          <w:bCs/>
          <w:lang w:eastAsia="zh-CN"/>
        </w:rPr>
      </w:pPr>
      <w:r>
        <w:rPr>
          <w:rFonts w:hint="eastAsia"/>
          <w:bCs/>
          <w:lang w:eastAsia="zh-CN"/>
        </w:rPr>
        <w:t>4.</w:t>
      </w:r>
      <w:r>
        <w:rPr>
          <w:bCs/>
          <w:lang w:eastAsia="zh-CN"/>
        </w:rPr>
        <w:t>3</w:t>
      </w:r>
      <w:r>
        <w:rPr>
          <w:rFonts w:hint="eastAsia"/>
          <w:bCs/>
          <w:lang w:eastAsia="zh-CN"/>
        </w:rPr>
        <w:t xml:space="preserve"> 三年</w:t>
      </w:r>
      <w:r>
        <w:rPr>
          <w:bCs/>
          <w:lang w:eastAsia="zh-CN"/>
        </w:rPr>
        <w:t>所需推荐备品备件清单</w:t>
      </w:r>
    </w:p>
    <w:tbl>
      <w:tblPr>
        <w:tblStyle w:val="6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2"/>
        <w:gridCol w:w="1938"/>
        <w:gridCol w:w="1843"/>
        <w:gridCol w:w="703"/>
        <w:gridCol w:w="714"/>
        <w:gridCol w:w="736"/>
        <w:gridCol w:w="1200"/>
        <w:gridCol w:w="9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2" w:type="dxa"/>
            <w:vAlign w:val="center"/>
          </w:tcPr>
          <w:p>
            <w:pPr>
              <w:snapToGrid w:val="0"/>
              <w:spacing w:line="360" w:lineRule="auto"/>
              <w:ind w:left="-110" w:leftChars="-50" w:right="-110" w:rightChars="-50"/>
              <w:jc w:val="center"/>
              <w:rPr>
                <w:bCs/>
                <w:sz w:val="21"/>
                <w:szCs w:val="21"/>
              </w:rPr>
            </w:pPr>
            <w:r>
              <w:rPr>
                <w:rFonts w:hint="eastAsia"/>
                <w:bCs/>
                <w:sz w:val="21"/>
                <w:szCs w:val="21"/>
              </w:rPr>
              <w:t>序号</w:t>
            </w:r>
          </w:p>
        </w:tc>
        <w:tc>
          <w:tcPr>
            <w:tcW w:w="1938" w:type="dxa"/>
            <w:vAlign w:val="center"/>
          </w:tcPr>
          <w:p>
            <w:pPr>
              <w:snapToGrid w:val="0"/>
              <w:spacing w:line="360" w:lineRule="auto"/>
              <w:jc w:val="center"/>
              <w:rPr>
                <w:bCs/>
                <w:sz w:val="21"/>
                <w:szCs w:val="21"/>
              </w:rPr>
            </w:pPr>
            <w:r>
              <w:rPr>
                <w:rFonts w:hint="eastAsia"/>
                <w:bCs/>
                <w:sz w:val="21"/>
                <w:szCs w:val="21"/>
              </w:rPr>
              <w:t>名称</w:t>
            </w:r>
          </w:p>
        </w:tc>
        <w:tc>
          <w:tcPr>
            <w:tcW w:w="1843" w:type="dxa"/>
            <w:vAlign w:val="center"/>
          </w:tcPr>
          <w:p>
            <w:pPr>
              <w:snapToGrid w:val="0"/>
              <w:spacing w:line="360" w:lineRule="auto"/>
              <w:jc w:val="center"/>
              <w:rPr>
                <w:bCs/>
                <w:sz w:val="21"/>
                <w:szCs w:val="21"/>
              </w:rPr>
            </w:pPr>
            <w:r>
              <w:rPr>
                <w:rFonts w:hint="eastAsia"/>
                <w:bCs/>
                <w:sz w:val="21"/>
                <w:szCs w:val="21"/>
              </w:rPr>
              <w:t>规格</w:t>
            </w:r>
          </w:p>
        </w:tc>
        <w:tc>
          <w:tcPr>
            <w:tcW w:w="703" w:type="dxa"/>
            <w:vAlign w:val="center"/>
          </w:tcPr>
          <w:p>
            <w:pPr>
              <w:snapToGrid w:val="0"/>
              <w:spacing w:line="360" w:lineRule="auto"/>
              <w:jc w:val="center"/>
              <w:rPr>
                <w:bCs/>
                <w:sz w:val="21"/>
                <w:szCs w:val="21"/>
              </w:rPr>
            </w:pPr>
            <w:r>
              <w:rPr>
                <w:rFonts w:hint="eastAsia"/>
                <w:bCs/>
                <w:sz w:val="21"/>
                <w:szCs w:val="21"/>
              </w:rPr>
              <w:t>单位</w:t>
            </w:r>
          </w:p>
        </w:tc>
        <w:tc>
          <w:tcPr>
            <w:tcW w:w="714" w:type="dxa"/>
            <w:vAlign w:val="center"/>
          </w:tcPr>
          <w:p>
            <w:pPr>
              <w:snapToGrid w:val="0"/>
              <w:spacing w:line="360" w:lineRule="auto"/>
              <w:jc w:val="center"/>
              <w:rPr>
                <w:bCs/>
                <w:sz w:val="21"/>
                <w:szCs w:val="21"/>
              </w:rPr>
            </w:pPr>
            <w:r>
              <w:rPr>
                <w:rFonts w:hint="eastAsia"/>
                <w:bCs/>
                <w:sz w:val="21"/>
                <w:szCs w:val="21"/>
              </w:rPr>
              <w:t>数量</w:t>
            </w:r>
          </w:p>
        </w:tc>
        <w:tc>
          <w:tcPr>
            <w:tcW w:w="736" w:type="dxa"/>
            <w:vAlign w:val="center"/>
          </w:tcPr>
          <w:p>
            <w:pPr>
              <w:snapToGrid w:val="0"/>
              <w:spacing w:line="360" w:lineRule="auto"/>
              <w:jc w:val="center"/>
              <w:rPr>
                <w:bCs/>
                <w:sz w:val="21"/>
                <w:szCs w:val="21"/>
              </w:rPr>
            </w:pPr>
            <w:r>
              <w:rPr>
                <w:rFonts w:hint="eastAsia"/>
                <w:bCs/>
                <w:sz w:val="21"/>
                <w:szCs w:val="21"/>
              </w:rPr>
              <w:t>产地</w:t>
            </w:r>
          </w:p>
        </w:tc>
        <w:tc>
          <w:tcPr>
            <w:tcW w:w="1200" w:type="dxa"/>
            <w:vAlign w:val="center"/>
          </w:tcPr>
          <w:p>
            <w:pPr>
              <w:snapToGrid w:val="0"/>
              <w:spacing w:line="360" w:lineRule="auto"/>
              <w:jc w:val="center"/>
              <w:rPr>
                <w:bCs/>
                <w:sz w:val="21"/>
                <w:szCs w:val="21"/>
              </w:rPr>
            </w:pPr>
            <w:r>
              <w:rPr>
                <w:rFonts w:hint="eastAsia"/>
                <w:bCs/>
                <w:sz w:val="21"/>
                <w:szCs w:val="21"/>
              </w:rPr>
              <w:t>生产厂家</w:t>
            </w:r>
          </w:p>
        </w:tc>
        <w:tc>
          <w:tcPr>
            <w:tcW w:w="957" w:type="dxa"/>
            <w:vAlign w:val="center"/>
          </w:tcPr>
          <w:p>
            <w:pPr>
              <w:snapToGrid w:val="0"/>
              <w:spacing w:line="360" w:lineRule="auto"/>
              <w:jc w:val="center"/>
              <w:rPr>
                <w:bCs/>
                <w:sz w:val="21"/>
                <w:szCs w:val="21"/>
              </w:rPr>
            </w:pPr>
            <w:r>
              <w:rPr>
                <w:rFonts w:hint="eastAsia"/>
                <w:bCs/>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2" w:type="dxa"/>
            <w:vAlign w:val="center"/>
          </w:tcPr>
          <w:p>
            <w:pPr>
              <w:snapToGrid w:val="0"/>
              <w:spacing w:line="360" w:lineRule="auto"/>
              <w:jc w:val="center"/>
              <w:rPr>
                <w:bCs/>
                <w:sz w:val="21"/>
                <w:szCs w:val="21"/>
              </w:rPr>
            </w:pPr>
            <w:r>
              <w:rPr>
                <w:rFonts w:hint="eastAsia"/>
                <w:bCs/>
                <w:sz w:val="21"/>
                <w:szCs w:val="21"/>
              </w:rPr>
              <w:t>1</w:t>
            </w:r>
          </w:p>
        </w:tc>
        <w:tc>
          <w:tcPr>
            <w:tcW w:w="1938" w:type="dxa"/>
            <w:vAlign w:val="center"/>
          </w:tcPr>
          <w:p>
            <w:pPr>
              <w:spacing w:line="360" w:lineRule="auto"/>
              <w:jc w:val="both"/>
              <w:rPr>
                <w:sz w:val="21"/>
                <w:szCs w:val="21"/>
              </w:rPr>
            </w:pPr>
          </w:p>
        </w:tc>
        <w:tc>
          <w:tcPr>
            <w:tcW w:w="1843" w:type="dxa"/>
          </w:tcPr>
          <w:p>
            <w:pPr>
              <w:spacing w:line="360" w:lineRule="auto"/>
              <w:jc w:val="center"/>
              <w:rPr>
                <w:sz w:val="21"/>
                <w:szCs w:val="21"/>
              </w:rPr>
            </w:pPr>
          </w:p>
        </w:tc>
        <w:tc>
          <w:tcPr>
            <w:tcW w:w="703" w:type="dxa"/>
          </w:tcPr>
          <w:p>
            <w:pPr>
              <w:spacing w:line="360" w:lineRule="auto"/>
              <w:jc w:val="center"/>
              <w:rPr>
                <w:sz w:val="21"/>
                <w:szCs w:val="21"/>
              </w:rPr>
            </w:pPr>
          </w:p>
        </w:tc>
        <w:tc>
          <w:tcPr>
            <w:tcW w:w="714" w:type="dxa"/>
            <w:vAlign w:val="center"/>
          </w:tcPr>
          <w:p>
            <w:pPr>
              <w:spacing w:line="360" w:lineRule="auto"/>
              <w:jc w:val="center"/>
              <w:rPr>
                <w:sz w:val="21"/>
                <w:szCs w:val="21"/>
              </w:rPr>
            </w:pPr>
          </w:p>
        </w:tc>
        <w:tc>
          <w:tcPr>
            <w:tcW w:w="736" w:type="dxa"/>
            <w:vAlign w:val="center"/>
          </w:tcPr>
          <w:p>
            <w:pPr>
              <w:spacing w:line="360" w:lineRule="auto"/>
              <w:jc w:val="center"/>
              <w:rPr>
                <w:sz w:val="21"/>
                <w:szCs w:val="21"/>
              </w:rPr>
            </w:pPr>
          </w:p>
        </w:tc>
        <w:tc>
          <w:tcPr>
            <w:tcW w:w="1200" w:type="dxa"/>
            <w:vAlign w:val="center"/>
          </w:tcPr>
          <w:p>
            <w:pPr>
              <w:spacing w:line="360" w:lineRule="auto"/>
              <w:jc w:val="center"/>
              <w:rPr>
                <w:bCs/>
                <w:sz w:val="21"/>
                <w:szCs w:val="21"/>
              </w:rPr>
            </w:pPr>
          </w:p>
        </w:tc>
        <w:tc>
          <w:tcPr>
            <w:tcW w:w="957" w:type="dxa"/>
            <w:vAlign w:val="center"/>
          </w:tcPr>
          <w:p>
            <w:pPr>
              <w:snapToGrid w:val="0"/>
              <w:spacing w:line="360" w:lineRule="auto"/>
              <w:jc w:val="center"/>
              <w:rPr>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2" w:type="dxa"/>
            <w:vAlign w:val="center"/>
          </w:tcPr>
          <w:p>
            <w:pPr>
              <w:snapToGrid w:val="0"/>
              <w:spacing w:line="360" w:lineRule="auto"/>
              <w:jc w:val="center"/>
              <w:rPr>
                <w:bCs/>
                <w:sz w:val="21"/>
                <w:szCs w:val="21"/>
              </w:rPr>
            </w:pPr>
            <w:r>
              <w:rPr>
                <w:rFonts w:hint="eastAsia"/>
                <w:bCs/>
                <w:sz w:val="21"/>
                <w:szCs w:val="21"/>
              </w:rPr>
              <w:t>2</w:t>
            </w:r>
          </w:p>
        </w:tc>
        <w:tc>
          <w:tcPr>
            <w:tcW w:w="1938" w:type="dxa"/>
          </w:tcPr>
          <w:p>
            <w:pPr>
              <w:spacing w:line="360" w:lineRule="auto"/>
              <w:rPr>
                <w:sz w:val="21"/>
                <w:szCs w:val="21"/>
              </w:rPr>
            </w:pPr>
          </w:p>
        </w:tc>
        <w:tc>
          <w:tcPr>
            <w:tcW w:w="1843" w:type="dxa"/>
            <w:vAlign w:val="center"/>
          </w:tcPr>
          <w:p>
            <w:pPr>
              <w:spacing w:line="360" w:lineRule="auto"/>
              <w:rPr>
                <w:sz w:val="21"/>
                <w:szCs w:val="21"/>
              </w:rPr>
            </w:pPr>
          </w:p>
        </w:tc>
        <w:tc>
          <w:tcPr>
            <w:tcW w:w="703" w:type="dxa"/>
            <w:vAlign w:val="center"/>
          </w:tcPr>
          <w:p>
            <w:pPr>
              <w:spacing w:line="360" w:lineRule="auto"/>
              <w:jc w:val="center"/>
              <w:rPr>
                <w:sz w:val="21"/>
                <w:szCs w:val="21"/>
              </w:rPr>
            </w:pPr>
          </w:p>
        </w:tc>
        <w:tc>
          <w:tcPr>
            <w:tcW w:w="714" w:type="dxa"/>
            <w:vAlign w:val="center"/>
          </w:tcPr>
          <w:p>
            <w:pPr>
              <w:spacing w:line="360" w:lineRule="auto"/>
              <w:jc w:val="center"/>
              <w:rPr>
                <w:sz w:val="21"/>
                <w:szCs w:val="21"/>
              </w:rPr>
            </w:pPr>
          </w:p>
        </w:tc>
        <w:tc>
          <w:tcPr>
            <w:tcW w:w="736" w:type="dxa"/>
            <w:vAlign w:val="center"/>
          </w:tcPr>
          <w:p>
            <w:pPr>
              <w:spacing w:line="360" w:lineRule="auto"/>
              <w:jc w:val="center"/>
              <w:rPr>
                <w:sz w:val="21"/>
                <w:szCs w:val="21"/>
              </w:rPr>
            </w:pPr>
          </w:p>
        </w:tc>
        <w:tc>
          <w:tcPr>
            <w:tcW w:w="1200" w:type="dxa"/>
            <w:vAlign w:val="center"/>
          </w:tcPr>
          <w:p>
            <w:pPr>
              <w:spacing w:line="360" w:lineRule="auto"/>
              <w:jc w:val="center"/>
              <w:rPr>
                <w:bCs/>
                <w:sz w:val="21"/>
                <w:szCs w:val="21"/>
              </w:rPr>
            </w:pPr>
          </w:p>
        </w:tc>
        <w:tc>
          <w:tcPr>
            <w:tcW w:w="957" w:type="dxa"/>
            <w:vAlign w:val="center"/>
          </w:tcPr>
          <w:p>
            <w:pPr>
              <w:snapToGrid w:val="0"/>
              <w:spacing w:line="360" w:lineRule="auto"/>
              <w:jc w:val="center"/>
              <w:rPr>
                <w:bCs/>
                <w:sz w:val="21"/>
                <w:szCs w:val="21"/>
              </w:rPr>
            </w:pPr>
          </w:p>
        </w:tc>
      </w:tr>
    </w:tbl>
    <w:p>
      <w:pPr>
        <w:snapToGrid w:val="0"/>
        <w:spacing w:line="360" w:lineRule="auto"/>
      </w:pPr>
    </w:p>
    <w:p>
      <w:pPr>
        <w:snapToGrid w:val="0"/>
        <w:spacing w:line="360" w:lineRule="auto"/>
      </w:pPr>
      <w:r>
        <w:rPr>
          <w:rFonts w:hint="eastAsia"/>
        </w:rPr>
        <w:t>4</w:t>
      </w:r>
      <w:r>
        <w:t>.4</w:t>
      </w:r>
      <w:r>
        <w:rPr>
          <w:rFonts w:hint="eastAsia"/>
        </w:rPr>
        <w:t>专用工具</w:t>
      </w:r>
    </w:p>
    <w:tbl>
      <w:tblPr>
        <w:tblStyle w:val="6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2"/>
        <w:gridCol w:w="1938"/>
        <w:gridCol w:w="1843"/>
        <w:gridCol w:w="703"/>
        <w:gridCol w:w="714"/>
        <w:gridCol w:w="736"/>
        <w:gridCol w:w="1200"/>
        <w:gridCol w:w="9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472" w:type="dxa"/>
            <w:vAlign w:val="center"/>
          </w:tcPr>
          <w:p>
            <w:pPr>
              <w:snapToGrid w:val="0"/>
              <w:spacing w:line="360" w:lineRule="auto"/>
              <w:ind w:left="-110" w:leftChars="-50" w:right="-110" w:rightChars="-50"/>
              <w:jc w:val="center"/>
              <w:rPr>
                <w:bCs/>
                <w:sz w:val="21"/>
                <w:szCs w:val="21"/>
              </w:rPr>
            </w:pPr>
            <w:bookmarkStart w:id="43" w:name="_Toc42495396"/>
            <w:r>
              <w:rPr>
                <w:rFonts w:hint="eastAsia"/>
                <w:bCs/>
                <w:sz w:val="21"/>
                <w:szCs w:val="21"/>
              </w:rPr>
              <w:t>序号</w:t>
            </w:r>
          </w:p>
        </w:tc>
        <w:tc>
          <w:tcPr>
            <w:tcW w:w="1938" w:type="dxa"/>
            <w:vAlign w:val="center"/>
          </w:tcPr>
          <w:p>
            <w:pPr>
              <w:snapToGrid w:val="0"/>
              <w:spacing w:line="360" w:lineRule="auto"/>
              <w:jc w:val="center"/>
              <w:rPr>
                <w:bCs/>
                <w:sz w:val="21"/>
                <w:szCs w:val="21"/>
              </w:rPr>
            </w:pPr>
            <w:r>
              <w:rPr>
                <w:rFonts w:hint="eastAsia"/>
                <w:bCs/>
                <w:sz w:val="21"/>
                <w:szCs w:val="21"/>
              </w:rPr>
              <w:t>名称</w:t>
            </w:r>
          </w:p>
        </w:tc>
        <w:tc>
          <w:tcPr>
            <w:tcW w:w="1843" w:type="dxa"/>
            <w:vAlign w:val="center"/>
          </w:tcPr>
          <w:p>
            <w:pPr>
              <w:snapToGrid w:val="0"/>
              <w:spacing w:line="360" w:lineRule="auto"/>
              <w:jc w:val="center"/>
              <w:rPr>
                <w:bCs/>
                <w:sz w:val="21"/>
                <w:szCs w:val="21"/>
              </w:rPr>
            </w:pPr>
            <w:r>
              <w:rPr>
                <w:rFonts w:hint="eastAsia"/>
                <w:bCs/>
                <w:sz w:val="21"/>
                <w:szCs w:val="21"/>
              </w:rPr>
              <w:t>规格</w:t>
            </w:r>
          </w:p>
        </w:tc>
        <w:tc>
          <w:tcPr>
            <w:tcW w:w="703" w:type="dxa"/>
            <w:vAlign w:val="center"/>
          </w:tcPr>
          <w:p>
            <w:pPr>
              <w:snapToGrid w:val="0"/>
              <w:spacing w:line="360" w:lineRule="auto"/>
              <w:jc w:val="center"/>
              <w:rPr>
                <w:bCs/>
                <w:sz w:val="21"/>
                <w:szCs w:val="21"/>
              </w:rPr>
            </w:pPr>
            <w:r>
              <w:rPr>
                <w:rFonts w:hint="eastAsia"/>
                <w:bCs/>
                <w:sz w:val="21"/>
                <w:szCs w:val="21"/>
              </w:rPr>
              <w:t>单位</w:t>
            </w:r>
          </w:p>
        </w:tc>
        <w:tc>
          <w:tcPr>
            <w:tcW w:w="714" w:type="dxa"/>
            <w:vAlign w:val="center"/>
          </w:tcPr>
          <w:p>
            <w:pPr>
              <w:snapToGrid w:val="0"/>
              <w:spacing w:line="360" w:lineRule="auto"/>
              <w:jc w:val="center"/>
              <w:rPr>
                <w:bCs/>
                <w:sz w:val="21"/>
                <w:szCs w:val="21"/>
              </w:rPr>
            </w:pPr>
            <w:r>
              <w:rPr>
                <w:rFonts w:hint="eastAsia"/>
                <w:bCs/>
                <w:sz w:val="21"/>
                <w:szCs w:val="21"/>
              </w:rPr>
              <w:t>数量</w:t>
            </w:r>
          </w:p>
        </w:tc>
        <w:tc>
          <w:tcPr>
            <w:tcW w:w="736" w:type="dxa"/>
            <w:vAlign w:val="center"/>
          </w:tcPr>
          <w:p>
            <w:pPr>
              <w:snapToGrid w:val="0"/>
              <w:spacing w:line="360" w:lineRule="auto"/>
              <w:jc w:val="center"/>
              <w:rPr>
                <w:bCs/>
                <w:sz w:val="21"/>
                <w:szCs w:val="21"/>
              </w:rPr>
            </w:pPr>
            <w:r>
              <w:rPr>
                <w:rFonts w:hint="eastAsia"/>
                <w:bCs/>
                <w:sz w:val="21"/>
                <w:szCs w:val="21"/>
              </w:rPr>
              <w:t>产地</w:t>
            </w:r>
          </w:p>
        </w:tc>
        <w:tc>
          <w:tcPr>
            <w:tcW w:w="1200" w:type="dxa"/>
            <w:vAlign w:val="center"/>
          </w:tcPr>
          <w:p>
            <w:pPr>
              <w:snapToGrid w:val="0"/>
              <w:spacing w:line="360" w:lineRule="auto"/>
              <w:jc w:val="center"/>
              <w:rPr>
                <w:bCs/>
                <w:sz w:val="21"/>
                <w:szCs w:val="21"/>
              </w:rPr>
            </w:pPr>
            <w:r>
              <w:rPr>
                <w:rFonts w:hint="eastAsia"/>
                <w:bCs/>
                <w:sz w:val="21"/>
                <w:szCs w:val="21"/>
              </w:rPr>
              <w:t>生产厂家</w:t>
            </w:r>
          </w:p>
        </w:tc>
        <w:tc>
          <w:tcPr>
            <w:tcW w:w="957" w:type="dxa"/>
            <w:vAlign w:val="center"/>
          </w:tcPr>
          <w:p>
            <w:pPr>
              <w:snapToGrid w:val="0"/>
              <w:spacing w:line="360" w:lineRule="auto"/>
              <w:jc w:val="center"/>
              <w:rPr>
                <w:bCs/>
                <w:sz w:val="21"/>
                <w:szCs w:val="21"/>
              </w:rPr>
            </w:pPr>
            <w:r>
              <w:rPr>
                <w:rFonts w:hint="eastAsia"/>
                <w:bCs/>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2" w:type="dxa"/>
            <w:vAlign w:val="center"/>
          </w:tcPr>
          <w:p>
            <w:pPr>
              <w:snapToGrid w:val="0"/>
              <w:spacing w:line="360" w:lineRule="auto"/>
              <w:jc w:val="center"/>
              <w:rPr>
                <w:bCs/>
                <w:sz w:val="21"/>
                <w:szCs w:val="21"/>
              </w:rPr>
            </w:pPr>
            <w:r>
              <w:rPr>
                <w:rFonts w:hint="eastAsia"/>
                <w:bCs/>
                <w:sz w:val="21"/>
                <w:szCs w:val="21"/>
              </w:rPr>
              <w:t>1</w:t>
            </w:r>
          </w:p>
        </w:tc>
        <w:tc>
          <w:tcPr>
            <w:tcW w:w="1938" w:type="dxa"/>
            <w:vAlign w:val="center"/>
          </w:tcPr>
          <w:p>
            <w:pPr>
              <w:spacing w:line="360" w:lineRule="auto"/>
              <w:jc w:val="center"/>
              <w:rPr>
                <w:sz w:val="21"/>
                <w:szCs w:val="21"/>
              </w:rPr>
            </w:pPr>
          </w:p>
        </w:tc>
        <w:tc>
          <w:tcPr>
            <w:tcW w:w="1843" w:type="dxa"/>
            <w:vAlign w:val="center"/>
          </w:tcPr>
          <w:p>
            <w:pPr>
              <w:spacing w:line="360" w:lineRule="auto"/>
              <w:jc w:val="center"/>
              <w:rPr>
                <w:sz w:val="21"/>
                <w:szCs w:val="21"/>
              </w:rPr>
            </w:pPr>
          </w:p>
        </w:tc>
        <w:tc>
          <w:tcPr>
            <w:tcW w:w="703" w:type="dxa"/>
            <w:vAlign w:val="center"/>
          </w:tcPr>
          <w:p>
            <w:pPr>
              <w:spacing w:line="360" w:lineRule="auto"/>
              <w:jc w:val="center"/>
              <w:rPr>
                <w:sz w:val="21"/>
                <w:szCs w:val="21"/>
              </w:rPr>
            </w:pPr>
          </w:p>
        </w:tc>
        <w:tc>
          <w:tcPr>
            <w:tcW w:w="714" w:type="dxa"/>
            <w:vAlign w:val="center"/>
          </w:tcPr>
          <w:p>
            <w:pPr>
              <w:spacing w:line="360" w:lineRule="auto"/>
              <w:jc w:val="center"/>
              <w:rPr>
                <w:sz w:val="21"/>
                <w:szCs w:val="21"/>
              </w:rPr>
            </w:pPr>
          </w:p>
        </w:tc>
        <w:tc>
          <w:tcPr>
            <w:tcW w:w="736" w:type="dxa"/>
            <w:vAlign w:val="center"/>
          </w:tcPr>
          <w:p>
            <w:pPr>
              <w:spacing w:line="360" w:lineRule="auto"/>
              <w:jc w:val="center"/>
              <w:rPr>
                <w:sz w:val="21"/>
                <w:szCs w:val="21"/>
              </w:rPr>
            </w:pPr>
          </w:p>
        </w:tc>
        <w:tc>
          <w:tcPr>
            <w:tcW w:w="1200" w:type="dxa"/>
            <w:vAlign w:val="center"/>
          </w:tcPr>
          <w:p>
            <w:pPr>
              <w:spacing w:line="360" w:lineRule="auto"/>
              <w:jc w:val="center"/>
              <w:rPr>
                <w:bCs/>
                <w:sz w:val="21"/>
                <w:szCs w:val="21"/>
              </w:rPr>
            </w:pPr>
          </w:p>
        </w:tc>
        <w:tc>
          <w:tcPr>
            <w:tcW w:w="957" w:type="dxa"/>
            <w:vAlign w:val="center"/>
          </w:tcPr>
          <w:p>
            <w:pPr>
              <w:snapToGrid w:val="0"/>
              <w:spacing w:line="360" w:lineRule="auto"/>
              <w:jc w:val="center"/>
              <w:rPr>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2" w:type="dxa"/>
            <w:vAlign w:val="center"/>
          </w:tcPr>
          <w:p>
            <w:pPr>
              <w:snapToGrid w:val="0"/>
              <w:spacing w:line="360" w:lineRule="auto"/>
              <w:jc w:val="center"/>
              <w:rPr>
                <w:bCs/>
                <w:sz w:val="21"/>
                <w:szCs w:val="21"/>
              </w:rPr>
            </w:pPr>
            <w:r>
              <w:rPr>
                <w:rFonts w:hint="eastAsia"/>
                <w:bCs/>
                <w:sz w:val="21"/>
                <w:szCs w:val="21"/>
              </w:rPr>
              <w:t>2</w:t>
            </w:r>
          </w:p>
        </w:tc>
        <w:tc>
          <w:tcPr>
            <w:tcW w:w="1938" w:type="dxa"/>
            <w:vAlign w:val="center"/>
          </w:tcPr>
          <w:p>
            <w:pPr>
              <w:spacing w:line="360" w:lineRule="auto"/>
              <w:jc w:val="center"/>
              <w:rPr>
                <w:sz w:val="21"/>
                <w:szCs w:val="21"/>
              </w:rPr>
            </w:pPr>
          </w:p>
        </w:tc>
        <w:tc>
          <w:tcPr>
            <w:tcW w:w="1843" w:type="dxa"/>
            <w:vAlign w:val="center"/>
          </w:tcPr>
          <w:p>
            <w:pPr>
              <w:spacing w:line="360" w:lineRule="auto"/>
              <w:jc w:val="center"/>
              <w:rPr>
                <w:sz w:val="21"/>
                <w:szCs w:val="21"/>
              </w:rPr>
            </w:pPr>
          </w:p>
        </w:tc>
        <w:tc>
          <w:tcPr>
            <w:tcW w:w="703" w:type="dxa"/>
            <w:vAlign w:val="center"/>
          </w:tcPr>
          <w:p>
            <w:pPr>
              <w:spacing w:line="360" w:lineRule="auto"/>
              <w:jc w:val="center"/>
              <w:rPr>
                <w:sz w:val="21"/>
                <w:szCs w:val="21"/>
              </w:rPr>
            </w:pPr>
          </w:p>
        </w:tc>
        <w:tc>
          <w:tcPr>
            <w:tcW w:w="714" w:type="dxa"/>
            <w:vAlign w:val="center"/>
          </w:tcPr>
          <w:p>
            <w:pPr>
              <w:spacing w:line="360" w:lineRule="auto"/>
              <w:jc w:val="center"/>
              <w:rPr>
                <w:sz w:val="21"/>
                <w:szCs w:val="21"/>
              </w:rPr>
            </w:pPr>
          </w:p>
        </w:tc>
        <w:tc>
          <w:tcPr>
            <w:tcW w:w="736" w:type="dxa"/>
            <w:vAlign w:val="center"/>
          </w:tcPr>
          <w:p>
            <w:pPr>
              <w:spacing w:line="360" w:lineRule="auto"/>
              <w:jc w:val="center"/>
              <w:rPr>
                <w:sz w:val="21"/>
                <w:szCs w:val="21"/>
              </w:rPr>
            </w:pPr>
          </w:p>
        </w:tc>
        <w:tc>
          <w:tcPr>
            <w:tcW w:w="1200" w:type="dxa"/>
            <w:vAlign w:val="center"/>
          </w:tcPr>
          <w:p>
            <w:pPr>
              <w:spacing w:line="360" w:lineRule="auto"/>
              <w:jc w:val="center"/>
              <w:rPr>
                <w:bCs/>
                <w:sz w:val="21"/>
                <w:szCs w:val="21"/>
              </w:rPr>
            </w:pPr>
          </w:p>
        </w:tc>
        <w:tc>
          <w:tcPr>
            <w:tcW w:w="957" w:type="dxa"/>
            <w:vAlign w:val="center"/>
          </w:tcPr>
          <w:p>
            <w:pPr>
              <w:snapToGrid w:val="0"/>
              <w:spacing w:line="360" w:lineRule="auto"/>
              <w:jc w:val="center"/>
              <w:rPr>
                <w:bCs/>
                <w:sz w:val="21"/>
                <w:szCs w:val="21"/>
              </w:rPr>
            </w:pPr>
          </w:p>
        </w:tc>
      </w:tr>
    </w:tbl>
    <w:p>
      <w:pPr>
        <w:tabs>
          <w:tab w:val="left" w:pos="600"/>
        </w:tabs>
        <w:snapToGrid w:val="0"/>
        <w:spacing w:line="360" w:lineRule="auto"/>
        <w:ind w:firstLine="570"/>
        <w:sectPr>
          <w:headerReference r:id="rId3" w:type="default"/>
          <w:footerReference r:id="rId4" w:type="default"/>
          <w:footerReference r:id="rId5" w:type="even"/>
          <w:pgSz w:w="11907" w:h="16840"/>
          <w:pgMar w:top="1276" w:right="1474" w:bottom="1474" w:left="993" w:header="851" w:footer="964" w:gutter="567"/>
          <w:pgNumType w:start="1"/>
          <w:cols w:space="720" w:num="1"/>
          <w:docGrid w:linePitch="312" w:charSpace="0"/>
        </w:sectPr>
      </w:pPr>
    </w:p>
    <w:p>
      <w:pPr>
        <w:pStyle w:val="3"/>
        <w:rPr>
          <w:lang w:eastAsia="zh-CN"/>
        </w:rPr>
      </w:pPr>
      <w:bookmarkStart w:id="44" w:name="_Toc103591622"/>
      <w:r>
        <w:rPr>
          <w:rFonts w:hint="eastAsia"/>
          <w:lang w:eastAsia="zh-CN"/>
        </w:rPr>
        <w:t>附件三  设备和技术资料的交付进度</w:t>
      </w:r>
      <w:bookmarkEnd w:id="43"/>
      <w:bookmarkEnd w:id="44"/>
    </w:p>
    <w:p>
      <w:pPr>
        <w:snapToGrid w:val="0"/>
        <w:spacing w:line="360" w:lineRule="auto"/>
        <w:rPr>
          <w:lang w:eastAsia="zh-CN"/>
        </w:rPr>
      </w:pPr>
      <w:r>
        <w:rPr>
          <w:rFonts w:hint="eastAsia"/>
          <w:lang w:eastAsia="zh-CN"/>
        </w:rPr>
        <w:t>1一般要求</w:t>
      </w:r>
    </w:p>
    <w:p>
      <w:pPr>
        <w:spacing w:line="360" w:lineRule="auto"/>
        <w:rPr>
          <w:sz w:val="21"/>
          <w:szCs w:val="21"/>
          <w:lang w:val="zh-CN" w:eastAsia="zh-CN"/>
        </w:rPr>
      </w:pPr>
      <w:r>
        <w:rPr>
          <w:lang w:eastAsia="zh-CN"/>
        </w:rPr>
        <w:t xml:space="preserve">1.1 </w:t>
      </w:r>
      <w:r>
        <w:rPr>
          <w:rFonts w:hint="eastAsia"/>
          <w:lang w:eastAsia="zh-CN"/>
        </w:rPr>
        <w:t>投标方提供的资料应使用国家法定单位制即国际单位制，提供的技术资料和图纸的文种为</w:t>
      </w:r>
      <w:r>
        <w:rPr>
          <w:rFonts w:hint="eastAsia"/>
          <w:b/>
          <w:lang w:eastAsia="zh-CN"/>
        </w:rPr>
        <w:t>中文</w:t>
      </w:r>
      <w:r>
        <w:rPr>
          <w:rFonts w:hint="eastAsia"/>
          <w:lang w:eastAsia="zh-CN"/>
        </w:rPr>
        <w:t>，投标方应对中本资料的准确性和一致性负责。</w:t>
      </w:r>
    </w:p>
    <w:p>
      <w:pPr>
        <w:snapToGrid w:val="0"/>
        <w:spacing w:line="360" w:lineRule="auto"/>
        <w:rPr>
          <w:lang w:eastAsia="zh-CN"/>
        </w:rPr>
      </w:pPr>
      <w:r>
        <w:rPr>
          <w:rFonts w:hint="eastAsia"/>
          <w:lang w:eastAsia="zh-CN"/>
        </w:rPr>
        <w:t>其中提供的图纸须同时提供</w:t>
      </w:r>
      <w:r>
        <w:rPr>
          <w:lang w:eastAsia="zh-CN"/>
        </w:rPr>
        <w:t>AUTOCAD</w:t>
      </w:r>
      <w:r>
        <w:rPr>
          <w:rFonts w:hint="eastAsia"/>
          <w:lang w:eastAsia="zh-CN"/>
        </w:rPr>
        <w:t>200</w:t>
      </w:r>
      <w:r>
        <w:rPr>
          <w:lang w:eastAsia="zh-CN"/>
        </w:rPr>
        <w:t>4</w:t>
      </w:r>
      <w:r>
        <w:rPr>
          <w:rFonts w:hint="eastAsia"/>
          <w:lang w:eastAsia="zh-CN"/>
        </w:rPr>
        <w:t>电子文本。</w:t>
      </w:r>
    </w:p>
    <w:p>
      <w:pPr>
        <w:snapToGrid w:val="0"/>
        <w:spacing w:line="360" w:lineRule="auto"/>
        <w:rPr>
          <w:lang w:eastAsia="zh-CN"/>
        </w:rPr>
      </w:pPr>
      <w:r>
        <w:rPr>
          <w:lang w:eastAsia="zh-CN"/>
        </w:rPr>
        <w:t xml:space="preserve">1.2 </w:t>
      </w:r>
      <w:r>
        <w:rPr>
          <w:rFonts w:hint="eastAsia"/>
          <w:lang w:eastAsia="zh-CN"/>
        </w:rPr>
        <w:t>资料的组织结构清晰、逻辑性强。资料内容正确、准确、一致、清晰完整，满足工程要求。</w:t>
      </w:r>
    </w:p>
    <w:p>
      <w:pPr>
        <w:snapToGrid w:val="0"/>
        <w:spacing w:line="360" w:lineRule="auto"/>
        <w:rPr>
          <w:lang w:eastAsia="zh-CN"/>
        </w:rPr>
      </w:pPr>
      <w:r>
        <w:rPr>
          <w:lang w:eastAsia="zh-CN"/>
        </w:rPr>
        <w:t xml:space="preserve">1.3 </w:t>
      </w:r>
      <w:r>
        <w:rPr>
          <w:rFonts w:hint="eastAsia"/>
          <w:lang w:eastAsia="zh-CN"/>
        </w:rPr>
        <w:t>投标方资料的提交应及时、充分，满足工程进度要求。在技术协议签订后，10天内提出给出全部技术资料和交付进度清单，并经招标方确认。</w:t>
      </w:r>
    </w:p>
    <w:p>
      <w:pPr>
        <w:snapToGrid w:val="0"/>
        <w:spacing w:line="360" w:lineRule="auto"/>
        <w:rPr>
          <w:lang w:eastAsia="zh-CN"/>
        </w:rPr>
      </w:pPr>
      <w:r>
        <w:rPr>
          <w:lang w:eastAsia="zh-CN"/>
        </w:rPr>
        <w:t xml:space="preserve">1.4 </w:t>
      </w:r>
      <w:r>
        <w:rPr>
          <w:rFonts w:hint="eastAsia"/>
          <w:lang w:eastAsia="zh-CN"/>
        </w:rPr>
        <w:t>投标方提供的技术资料分为投标阶段，配合设计阶段，设备制造检验、施工调试试运、性能试验验收和运行维护等四个方面。投标方须满足以上四个方面的具体要求。</w:t>
      </w:r>
    </w:p>
    <w:p>
      <w:pPr>
        <w:snapToGrid w:val="0"/>
        <w:spacing w:line="360" w:lineRule="auto"/>
        <w:rPr>
          <w:lang w:eastAsia="zh-CN"/>
        </w:rPr>
      </w:pPr>
      <w:r>
        <w:rPr>
          <w:lang w:eastAsia="zh-CN"/>
        </w:rPr>
        <w:t xml:space="preserve">1.5 </w:t>
      </w:r>
      <w:r>
        <w:rPr>
          <w:rFonts w:hint="eastAsia"/>
          <w:lang w:eastAsia="zh-CN"/>
        </w:rPr>
        <w:t>对于其它没有列入合同技术资料清单，却是工程所必需文件和资料，一经发现，投标方应及时免费提供。如本期工程为多台设备构成，后续设备有改进时，投标方也应及时免费提供新的技术资料。</w:t>
      </w:r>
    </w:p>
    <w:p>
      <w:pPr>
        <w:snapToGrid w:val="0"/>
        <w:spacing w:line="360" w:lineRule="auto"/>
        <w:rPr>
          <w:lang w:eastAsia="zh-CN"/>
        </w:rPr>
      </w:pPr>
      <w:r>
        <w:rPr>
          <w:lang w:eastAsia="zh-CN"/>
        </w:rPr>
        <w:t>1.6</w:t>
      </w:r>
      <w:r>
        <w:rPr>
          <w:rFonts w:hint="eastAsia"/>
          <w:lang w:eastAsia="zh-CN"/>
        </w:rPr>
        <w:t>招标方要及时提供与合同设备设计制造有关的资料。</w:t>
      </w:r>
    </w:p>
    <w:p>
      <w:pPr>
        <w:snapToGrid w:val="0"/>
        <w:spacing w:line="360" w:lineRule="auto"/>
        <w:rPr>
          <w:lang w:eastAsia="zh-CN"/>
        </w:rPr>
      </w:pPr>
      <w:r>
        <w:rPr>
          <w:lang w:eastAsia="zh-CN"/>
        </w:rPr>
        <w:t>1.7</w:t>
      </w:r>
      <w:r>
        <w:rPr>
          <w:rFonts w:hint="eastAsia"/>
          <w:lang w:eastAsia="zh-CN"/>
        </w:rPr>
        <w:t>投标方提供的施工用技术资料为每台炉</w:t>
      </w:r>
      <w:r>
        <w:rPr>
          <w:rFonts w:hint="eastAsia"/>
          <w:u w:val="single"/>
          <w:lang w:eastAsia="zh-CN"/>
        </w:rPr>
        <w:t xml:space="preserve"> </w:t>
      </w:r>
      <w:r>
        <w:rPr>
          <w:u w:val="single"/>
          <w:lang w:eastAsia="zh-CN"/>
        </w:rPr>
        <w:t>2</w:t>
      </w:r>
      <w:r>
        <w:rPr>
          <w:rFonts w:hint="eastAsia"/>
          <w:u w:val="single"/>
          <w:lang w:eastAsia="zh-CN"/>
        </w:rPr>
        <w:t xml:space="preserve"> </w:t>
      </w:r>
      <w:r>
        <w:rPr>
          <w:rFonts w:hint="eastAsia"/>
          <w:lang w:eastAsia="zh-CN"/>
        </w:rPr>
        <w:t>套。且在设备交货前</w:t>
      </w:r>
      <w:r>
        <w:rPr>
          <w:lang w:eastAsia="zh-CN"/>
        </w:rPr>
        <w:t>10</w:t>
      </w:r>
      <w:r>
        <w:rPr>
          <w:rFonts w:hint="eastAsia"/>
          <w:lang w:eastAsia="zh-CN"/>
        </w:rPr>
        <w:t>天提前供完。</w:t>
      </w:r>
    </w:p>
    <w:p>
      <w:pPr>
        <w:snapToGrid w:val="0"/>
        <w:spacing w:line="360" w:lineRule="auto"/>
        <w:rPr>
          <w:lang w:eastAsia="zh-CN"/>
        </w:rPr>
      </w:pPr>
      <w:r>
        <w:rPr>
          <w:lang w:eastAsia="zh-CN"/>
        </w:rPr>
        <w:t>1.</w:t>
      </w:r>
      <w:r>
        <w:rPr>
          <w:rFonts w:hint="eastAsia"/>
          <w:lang w:eastAsia="zh-CN"/>
        </w:rPr>
        <w:t>8 设备完成后，提供完整的设备峻工资料6套，电子版本2套。</w:t>
      </w:r>
    </w:p>
    <w:p>
      <w:pPr>
        <w:snapToGrid w:val="0"/>
        <w:spacing w:line="360" w:lineRule="auto"/>
        <w:rPr>
          <w:lang w:eastAsia="zh-CN"/>
        </w:rPr>
      </w:pPr>
      <w:r>
        <w:rPr>
          <w:rFonts w:hint="eastAsia"/>
          <w:lang w:eastAsia="zh-CN"/>
        </w:rPr>
        <w:t>1.9</w:t>
      </w:r>
      <w:r>
        <w:rPr>
          <w:rFonts w:hint="eastAsia" w:cs="Arial"/>
          <w:szCs w:val="24"/>
          <w:lang w:eastAsia="zh-CN"/>
        </w:rPr>
        <w:t>投标方提供的所有资料上加盖资料专用章，并注明版次及设计阶段。最终资料提交后不得任意修改，设备到货后与所提资料不符所造成的一切返工和损失由投标方负责赔偿。</w:t>
      </w:r>
    </w:p>
    <w:p>
      <w:pPr>
        <w:snapToGrid w:val="0"/>
        <w:spacing w:line="360" w:lineRule="auto"/>
        <w:rPr>
          <w:lang w:eastAsia="zh-CN"/>
        </w:rPr>
      </w:pPr>
      <w:r>
        <w:rPr>
          <w:lang w:eastAsia="zh-CN"/>
        </w:rPr>
        <w:t xml:space="preserve">2 </w:t>
      </w:r>
      <w:r>
        <w:rPr>
          <w:rFonts w:hint="eastAsia"/>
          <w:lang w:eastAsia="zh-CN"/>
        </w:rPr>
        <w:t>资料提交的基本要求</w:t>
      </w:r>
    </w:p>
    <w:p>
      <w:pPr>
        <w:snapToGrid w:val="0"/>
        <w:spacing w:line="360" w:lineRule="auto"/>
        <w:rPr>
          <w:lang w:eastAsia="zh-CN"/>
        </w:rPr>
      </w:pPr>
      <w:r>
        <w:rPr>
          <w:lang w:eastAsia="zh-CN"/>
        </w:rPr>
        <w:t xml:space="preserve">2.1 </w:t>
      </w:r>
      <w:r>
        <w:rPr>
          <w:rFonts w:hint="eastAsia"/>
          <w:lang w:eastAsia="zh-CN"/>
        </w:rPr>
        <w:t>机务资料要求：</w:t>
      </w:r>
    </w:p>
    <w:p>
      <w:pPr>
        <w:spacing w:line="360" w:lineRule="auto"/>
        <w:ind w:firstLine="440" w:firstLineChars="200"/>
        <w:rPr>
          <w:lang w:eastAsia="zh-CN"/>
        </w:rPr>
      </w:pPr>
      <w:bookmarkStart w:id="45" w:name="_Toc42495397"/>
      <w:r>
        <w:rPr>
          <w:rFonts w:hint="eastAsia"/>
          <w:lang w:eastAsia="zh-CN"/>
        </w:rPr>
        <w:t>技术协议签定后10日内，投标方提供如下技术资料，但不限于此</w:t>
      </w:r>
      <w:r>
        <w:rPr>
          <w:lang w:eastAsia="zh-CN"/>
        </w:rPr>
        <w:t>:</w:t>
      </w:r>
    </w:p>
    <w:p>
      <w:pPr>
        <w:spacing w:line="360" w:lineRule="auto"/>
        <w:rPr>
          <w:lang w:eastAsia="zh-CN"/>
        </w:rPr>
      </w:pPr>
      <w:r>
        <w:rPr>
          <w:rFonts w:hint="eastAsia"/>
          <w:lang w:eastAsia="zh-CN"/>
        </w:rPr>
        <w:t>火检冷却</w:t>
      </w:r>
      <w:r>
        <w:rPr>
          <w:lang w:eastAsia="zh-CN"/>
        </w:rPr>
        <w:t>风源管系统图</w:t>
      </w:r>
      <w:r>
        <w:rPr>
          <w:rFonts w:hint="eastAsia"/>
          <w:lang w:eastAsia="zh-CN"/>
        </w:rPr>
        <w:t>、安装图；</w:t>
      </w:r>
    </w:p>
    <w:p>
      <w:pPr>
        <w:spacing w:line="360" w:lineRule="auto"/>
        <w:rPr>
          <w:lang w:eastAsia="zh-CN"/>
        </w:rPr>
      </w:pPr>
      <w:r>
        <w:rPr>
          <w:rFonts w:hint="eastAsia"/>
          <w:lang w:eastAsia="zh-CN"/>
        </w:rPr>
        <w:t>系统运行、操作说明书；</w:t>
      </w:r>
    </w:p>
    <w:p>
      <w:pPr>
        <w:spacing w:line="360" w:lineRule="auto"/>
        <w:rPr>
          <w:lang w:eastAsia="zh-CN"/>
        </w:rPr>
      </w:pPr>
      <w:r>
        <w:rPr>
          <w:rFonts w:hint="eastAsia"/>
          <w:lang w:eastAsia="zh-CN"/>
        </w:rPr>
        <w:t>各部件或系统的调整试验规程；</w:t>
      </w:r>
    </w:p>
    <w:p>
      <w:pPr>
        <w:spacing w:line="360" w:lineRule="auto"/>
        <w:rPr>
          <w:lang w:eastAsia="zh-CN"/>
        </w:rPr>
      </w:pPr>
      <w:r>
        <w:rPr>
          <w:rFonts w:hint="eastAsia"/>
          <w:lang w:eastAsia="zh-CN"/>
        </w:rPr>
        <w:t>备品备件和专用工具一览表；</w:t>
      </w:r>
    </w:p>
    <w:p>
      <w:pPr>
        <w:snapToGrid w:val="0"/>
        <w:spacing w:line="360" w:lineRule="auto"/>
        <w:rPr>
          <w:lang w:eastAsia="zh-CN"/>
        </w:rPr>
      </w:pPr>
      <w:r>
        <w:rPr>
          <w:rFonts w:hint="eastAsia"/>
          <w:lang w:eastAsia="zh-CN"/>
        </w:rPr>
        <w:t>安装要求及安装质量标准。</w:t>
      </w:r>
    </w:p>
    <w:p>
      <w:pPr>
        <w:snapToGrid w:val="0"/>
        <w:spacing w:line="360" w:lineRule="auto"/>
        <w:rPr>
          <w:lang w:eastAsia="zh-CN"/>
        </w:rPr>
      </w:pPr>
      <w:r>
        <w:rPr>
          <w:rFonts w:hint="eastAsia"/>
          <w:lang w:eastAsia="zh-CN"/>
        </w:rPr>
        <w:t>2</w:t>
      </w:r>
      <w:r>
        <w:rPr>
          <w:lang w:eastAsia="zh-CN"/>
        </w:rPr>
        <w:t>.</w:t>
      </w:r>
      <w:r>
        <w:rPr>
          <w:rFonts w:hint="eastAsia"/>
          <w:lang w:eastAsia="zh-CN"/>
        </w:rPr>
        <w:t>2</w:t>
      </w:r>
      <w:r>
        <w:rPr>
          <w:lang w:eastAsia="zh-CN"/>
        </w:rPr>
        <w:t xml:space="preserve">  </w:t>
      </w:r>
      <w:r>
        <w:rPr>
          <w:rFonts w:hint="eastAsia"/>
          <w:lang w:eastAsia="zh-CN"/>
        </w:rPr>
        <w:t>投标方在开始制造之日以前，向招标方提供一份准备正式使用的规程、规范和标准的目录清单。</w:t>
      </w:r>
    </w:p>
    <w:p>
      <w:pPr>
        <w:snapToGrid w:val="0"/>
        <w:spacing w:line="360" w:lineRule="auto"/>
        <w:rPr>
          <w:lang w:eastAsia="zh-CN"/>
        </w:rPr>
      </w:pPr>
      <w:r>
        <w:rPr>
          <w:rFonts w:hint="eastAsia"/>
          <w:lang w:eastAsia="zh-CN"/>
        </w:rPr>
        <w:t>2.3  施工、调试、试运、机组性能试验和运行维护所需的技术资料（招标方提供具体清单和要求，投标方细化，招标方确认）。全套技术资料1</w:t>
      </w:r>
      <w:r>
        <w:rPr>
          <w:lang w:eastAsia="zh-CN"/>
        </w:rPr>
        <w:t>0</w:t>
      </w:r>
      <w:r>
        <w:rPr>
          <w:rFonts w:hint="eastAsia"/>
          <w:lang w:eastAsia="zh-CN"/>
        </w:rPr>
        <w:t>套</w:t>
      </w:r>
      <w:r>
        <w:rPr>
          <w:lang w:eastAsia="zh-CN"/>
        </w:rPr>
        <w:t xml:space="preserve"> (</w:t>
      </w:r>
      <w:r>
        <w:rPr>
          <w:rFonts w:hint="eastAsia"/>
          <w:lang w:eastAsia="zh-CN"/>
        </w:rPr>
        <w:t>设备发货前1周提供</w:t>
      </w:r>
      <w:r>
        <w:rPr>
          <w:lang w:eastAsia="zh-CN"/>
        </w:rPr>
        <w:t>)</w:t>
      </w:r>
      <w:r>
        <w:rPr>
          <w:rFonts w:hint="eastAsia"/>
          <w:lang w:eastAsia="zh-CN"/>
        </w:rPr>
        <w:t>，前期提供给招标方的技术文件和图纸，不能取代设备发运前装箱时应同时装入的技术文件和图纸。装箱资料的内容，满足设备在现场的安装、调试、验收、运行、维护和检修的需要。包括但不限于（含2.2条的正式资料）：</w:t>
      </w:r>
    </w:p>
    <w:p>
      <w:pPr>
        <w:snapToGrid w:val="0"/>
        <w:spacing w:line="360" w:lineRule="auto"/>
        <w:rPr>
          <w:lang w:eastAsia="zh-CN"/>
        </w:rPr>
      </w:pPr>
      <w:r>
        <w:rPr>
          <w:rFonts w:hint="eastAsia"/>
          <w:lang w:eastAsia="zh-CN"/>
        </w:rPr>
        <w:t>2.4.1  产品合格证明书；</w:t>
      </w:r>
    </w:p>
    <w:p>
      <w:pPr>
        <w:snapToGrid w:val="0"/>
        <w:spacing w:line="360" w:lineRule="auto"/>
        <w:rPr>
          <w:lang w:eastAsia="zh-CN"/>
        </w:rPr>
      </w:pPr>
      <w:r>
        <w:rPr>
          <w:rFonts w:hint="eastAsia"/>
          <w:lang w:eastAsia="zh-CN"/>
        </w:rPr>
        <w:t>2.4.2  系统运行、操作说明书；</w:t>
      </w:r>
    </w:p>
    <w:p>
      <w:pPr>
        <w:snapToGrid w:val="0"/>
        <w:spacing w:line="360" w:lineRule="auto"/>
        <w:rPr>
          <w:lang w:eastAsia="zh-CN"/>
        </w:rPr>
      </w:pPr>
      <w:r>
        <w:rPr>
          <w:rFonts w:hint="eastAsia"/>
          <w:lang w:eastAsia="zh-CN"/>
        </w:rPr>
        <w:t>2.4.</w:t>
      </w:r>
      <w:r>
        <w:rPr>
          <w:lang w:eastAsia="zh-CN"/>
        </w:rPr>
        <w:t>3</w:t>
      </w:r>
      <w:r>
        <w:rPr>
          <w:rFonts w:hint="eastAsia"/>
          <w:lang w:eastAsia="zh-CN"/>
        </w:rPr>
        <w:t xml:space="preserve">  各部件或系统的维护、检修说明及维修质量标准；</w:t>
      </w:r>
    </w:p>
    <w:p>
      <w:pPr>
        <w:snapToGrid w:val="0"/>
        <w:spacing w:line="360" w:lineRule="auto"/>
        <w:rPr>
          <w:lang w:eastAsia="zh-CN"/>
        </w:rPr>
      </w:pPr>
      <w:r>
        <w:rPr>
          <w:rFonts w:hint="eastAsia"/>
          <w:lang w:eastAsia="zh-CN"/>
        </w:rPr>
        <w:t>2.4.</w:t>
      </w:r>
      <w:r>
        <w:rPr>
          <w:lang w:eastAsia="zh-CN"/>
        </w:rPr>
        <w:t xml:space="preserve">4  </w:t>
      </w:r>
      <w:r>
        <w:rPr>
          <w:rFonts w:hint="eastAsia"/>
          <w:lang w:eastAsia="zh-CN"/>
        </w:rPr>
        <w:t>各部件或系统的调整实验规程；</w:t>
      </w:r>
    </w:p>
    <w:p>
      <w:pPr>
        <w:snapToGrid w:val="0"/>
        <w:spacing w:line="360" w:lineRule="auto"/>
        <w:rPr>
          <w:lang w:eastAsia="zh-CN"/>
        </w:rPr>
      </w:pPr>
      <w:r>
        <w:rPr>
          <w:rFonts w:hint="eastAsia"/>
          <w:lang w:eastAsia="zh-CN"/>
        </w:rPr>
        <w:t>2.4.7  各部件或设备的合格证书；</w:t>
      </w:r>
    </w:p>
    <w:p>
      <w:pPr>
        <w:snapToGrid w:val="0"/>
        <w:spacing w:line="360" w:lineRule="auto"/>
        <w:rPr>
          <w:lang w:eastAsia="zh-CN"/>
        </w:rPr>
      </w:pPr>
      <w:r>
        <w:rPr>
          <w:rFonts w:hint="eastAsia"/>
          <w:lang w:eastAsia="zh-CN"/>
        </w:rPr>
        <w:t>2.4.8  各部件、设备主要用材的检验合格证书；</w:t>
      </w:r>
    </w:p>
    <w:p>
      <w:pPr>
        <w:snapToGrid w:val="0"/>
        <w:spacing w:line="360" w:lineRule="auto"/>
        <w:rPr>
          <w:lang w:eastAsia="zh-CN"/>
        </w:rPr>
      </w:pPr>
      <w:r>
        <w:rPr>
          <w:rFonts w:hint="eastAsia"/>
          <w:lang w:eastAsia="zh-CN"/>
        </w:rPr>
        <w:t>2.4.9  备品备件和专用工具一览表；</w:t>
      </w:r>
    </w:p>
    <w:p>
      <w:pPr>
        <w:snapToGrid w:val="0"/>
        <w:spacing w:line="360" w:lineRule="auto"/>
        <w:rPr>
          <w:lang w:eastAsia="zh-CN"/>
        </w:rPr>
      </w:pPr>
      <w:r>
        <w:rPr>
          <w:rFonts w:hint="eastAsia"/>
          <w:lang w:eastAsia="zh-CN"/>
        </w:rPr>
        <w:t>2.4.10 安装要求及安装质量标准；</w:t>
      </w:r>
    </w:p>
    <w:p>
      <w:pPr>
        <w:snapToGrid w:val="0"/>
        <w:spacing w:line="360" w:lineRule="auto"/>
        <w:rPr>
          <w:lang w:eastAsia="zh-CN"/>
        </w:rPr>
      </w:pPr>
      <w:r>
        <w:rPr>
          <w:rFonts w:hint="eastAsia"/>
          <w:lang w:eastAsia="zh-CN"/>
        </w:rPr>
        <w:t>2.4.11 易损部件、消耗件的加工制作图。</w:t>
      </w:r>
    </w:p>
    <w:p>
      <w:pPr>
        <w:snapToGrid w:val="0"/>
        <w:spacing w:line="360" w:lineRule="auto"/>
        <w:rPr>
          <w:lang w:eastAsia="zh-CN"/>
        </w:rPr>
      </w:pPr>
      <w:r>
        <w:rPr>
          <w:rFonts w:hint="eastAsia"/>
          <w:lang w:eastAsia="zh-CN"/>
        </w:rPr>
        <w:t>2.4.12</w:t>
      </w:r>
      <w:r>
        <w:rPr>
          <w:lang w:eastAsia="zh-CN"/>
        </w:rPr>
        <w:t xml:space="preserve"> </w:t>
      </w:r>
      <w:r>
        <w:rPr>
          <w:rFonts w:hint="eastAsia"/>
          <w:lang w:eastAsia="zh-CN"/>
        </w:rPr>
        <w:t>设备总装配图和部件组装图；</w:t>
      </w:r>
    </w:p>
    <w:p>
      <w:pPr>
        <w:snapToGrid w:val="0"/>
        <w:spacing w:line="360" w:lineRule="auto"/>
        <w:rPr>
          <w:lang w:eastAsia="zh-CN"/>
        </w:rPr>
      </w:pPr>
      <w:r>
        <w:rPr>
          <w:rFonts w:hint="eastAsia"/>
          <w:lang w:eastAsia="zh-CN"/>
        </w:rPr>
        <w:t>2.4.13</w:t>
      </w:r>
      <w:r>
        <w:rPr>
          <w:lang w:eastAsia="zh-CN"/>
        </w:rPr>
        <w:t xml:space="preserve"> </w:t>
      </w:r>
      <w:r>
        <w:rPr>
          <w:rFonts w:hint="eastAsia"/>
          <w:lang w:eastAsia="zh-CN"/>
        </w:rPr>
        <w:t>装箱清单；</w:t>
      </w:r>
    </w:p>
    <w:p>
      <w:pPr>
        <w:snapToGrid w:val="0"/>
        <w:spacing w:line="360" w:lineRule="auto"/>
        <w:rPr>
          <w:lang w:eastAsia="zh-CN"/>
        </w:rPr>
      </w:pPr>
      <w:r>
        <w:rPr>
          <w:rFonts w:hint="eastAsia"/>
          <w:lang w:eastAsia="zh-CN"/>
        </w:rPr>
        <w:t>2.4.1</w:t>
      </w:r>
      <w:r>
        <w:rPr>
          <w:lang w:eastAsia="zh-CN"/>
        </w:rPr>
        <w:t>4</w:t>
      </w:r>
      <w:r>
        <w:rPr>
          <w:rFonts w:hint="eastAsia"/>
          <w:lang w:eastAsia="zh-CN"/>
        </w:rPr>
        <w:t xml:space="preserve"> 安装、运行、维护、检修所需详尽图纸和的技术资料(包括系统图、部件总图、分图和必要的零件图、计算资料、</w:t>
      </w:r>
      <w:r>
        <w:rPr>
          <w:lang w:eastAsia="zh-CN"/>
        </w:rPr>
        <w:t>施工图</w:t>
      </w:r>
      <w:r>
        <w:rPr>
          <w:rFonts w:hint="eastAsia"/>
          <w:lang w:eastAsia="zh-CN"/>
        </w:rPr>
        <w:t>等)。</w:t>
      </w:r>
    </w:p>
    <w:p>
      <w:pPr>
        <w:snapToGrid w:val="0"/>
        <w:spacing w:line="360" w:lineRule="auto"/>
        <w:rPr>
          <w:lang w:eastAsia="zh-CN"/>
        </w:rPr>
      </w:pPr>
      <w:r>
        <w:rPr>
          <w:rFonts w:hint="eastAsia"/>
          <w:lang w:eastAsia="zh-CN"/>
        </w:rPr>
        <w:t>2.4.1</w:t>
      </w:r>
      <w:r>
        <w:rPr>
          <w:lang w:eastAsia="zh-CN"/>
        </w:rPr>
        <w:t>5</w:t>
      </w:r>
      <w:r>
        <w:rPr>
          <w:rFonts w:hint="eastAsia"/>
          <w:lang w:eastAsia="zh-CN"/>
        </w:rPr>
        <w:t xml:space="preserve"> 系统运行、</w:t>
      </w:r>
      <w:r>
        <w:rPr>
          <w:lang w:eastAsia="zh-CN"/>
        </w:rPr>
        <w:t>维护</w:t>
      </w:r>
      <w:r>
        <w:rPr>
          <w:rFonts w:hint="eastAsia"/>
          <w:lang w:eastAsia="zh-CN"/>
        </w:rPr>
        <w:t>说明书(包括设备结构特点、安装程序和工艺要求、启动调试要领、运行操作规定和控制数据、定期校验和维护说明等)。</w:t>
      </w:r>
    </w:p>
    <w:p>
      <w:pPr>
        <w:snapToGrid w:val="0"/>
        <w:spacing w:line="360" w:lineRule="auto"/>
        <w:rPr>
          <w:lang w:eastAsia="zh-CN"/>
        </w:rPr>
      </w:pPr>
      <w:r>
        <w:rPr>
          <w:rFonts w:hint="eastAsia"/>
          <w:lang w:eastAsia="zh-CN"/>
        </w:rPr>
        <w:t>2.4.</w:t>
      </w:r>
      <w:r>
        <w:rPr>
          <w:lang w:eastAsia="zh-CN"/>
        </w:rPr>
        <w:t>16</w:t>
      </w:r>
      <w:r>
        <w:rPr>
          <w:rFonts w:hint="eastAsia"/>
          <w:lang w:eastAsia="zh-CN"/>
        </w:rPr>
        <w:t xml:space="preserve"> 招标方要求的其它资料。</w:t>
      </w:r>
    </w:p>
    <w:p>
      <w:pPr>
        <w:snapToGrid w:val="0"/>
        <w:spacing w:line="360" w:lineRule="auto"/>
        <w:rPr>
          <w:lang w:eastAsia="zh-CN"/>
        </w:rPr>
      </w:pPr>
      <w:r>
        <w:rPr>
          <w:rFonts w:hint="eastAsia"/>
          <w:lang w:eastAsia="zh-CN"/>
        </w:rPr>
        <w:t>2.5 投标方提供的其它技术资料</w:t>
      </w:r>
      <w:r>
        <w:rPr>
          <w:lang w:eastAsia="zh-CN"/>
        </w:rPr>
        <w:t>(</w:t>
      </w:r>
      <w:r>
        <w:rPr>
          <w:rFonts w:hint="eastAsia"/>
          <w:lang w:eastAsia="zh-CN"/>
        </w:rPr>
        <w:t>招标方提供具体清单和要求，投标方细化，招标方确认)。</w:t>
      </w:r>
    </w:p>
    <w:p>
      <w:pPr>
        <w:snapToGrid w:val="0"/>
        <w:spacing w:line="360" w:lineRule="auto"/>
        <w:rPr>
          <w:lang w:eastAsia="zh-CN"/>
        </w:rPr>
      </w:pPr>
      <w:r>
        <w:rPr>
          <w:rFonts w:hint="eastAsia"/>
          <w:lang w:eastAsia="zh-CN"/>
        </w:rPr>
        <w:t>2.5.1 检验记录、试验报告及质量合格证等出厂报告。</w:t>
      </w:r>
    </w:p>
    <w:p>
      <w:pPr>
        <w:snapToGrid w:val="0"/>
        <w:spacing w:line="360" w:lineRule="auto"/>
        <w:rPr>
          <w:lang w:eastAsia="zh-CN"/>
        </w:rPr>
      </w:pPr>
      <w:r>
        <w:rPr>
          <w:rFonts w:hint="eastAsia"/>
          <w:lang w:eastAsia="zh-CN"/>
        </w:rPr>
        <w:t>2.5.1.1</w:t>
      </w:r>
      <w:r>
        <w:rPr>
          <w:lang w:eastAsia="zh-CN"/>
        </w:rPr>
        <w:t xml:space="preserve">  </w:t>
      </w:r>
      <w:r>
        <w:rPr>
          <w:rFonts w:hint="eastAsia"/>
          <w:lang w:eastAsia="zh-CN"/>
        </w:rPr>
        <w:t>产品检验合格证书；</w:t>
      </w:r>
    </w:p>
    <w:p>
      <w:pPr>
        <w:snapToGrid w:val="0"/>
        <w:spacing w:line="360" w:lineRule="auto"/>
        <w:rPr>
          <w:lang w:eastAsia="zh-CN"/>
        </w:rPr>
      </w:pPr>
      <w:r>
        <w:rPr>
          <w:rFonts w:hint="eastAsia"/>
          <w:lang w:eastAsia="zh-CN"/>
        </w:rPr>
        <w:t>2.5.1.2</w:t>
      </w:r>
      <w:r>
        <w:rPr>
          <w:lang w:eastAsia="zh-CN"/>
        </w:rPr>
        <w:t xml:space="preserve">  </w:t>
      </w:r>
      <w:r>
        <w:rPr>
          <w:rFonts w:hint="eastAsia"/>
          <w:lang w:eastAsia="zh-CN"/>
        </w:rPr>
        <w:t>制造、检验记录；</w:t>
      </w:r>
    </w:p>
    <w:p>
      <w:pPr>
        <w:snapToGrid w:val="0"/>
        <w:spacing w:line="360" w:lineRule="auto"/>
        <w:rPr>
          <w:lang w:eastAsia="zh-CN"/>
        </w:rPr>
      </w:pPr>
      <w:r>
        <w:rPr>
          <w:rFonts w:hint="eastAsia"/>
          <w:lang w:eastAsia="zh-CN"/>
        </w:rPr>
        <w:t>2.5.1.3  主要零部件材料检验合格证书、主要零部件材料试验报告；</w:t>
      </w:r>
    </w:p>
    <w:p>
      <w:pPr>
        <w:snapToGrid w:val="0"/>
        <w:spacing w:line="360" w:lineRule="auto"/>
        <w:rPr>
          <w:lang w:eastAsia="zh-CN"/>
        </w:rPr>
      </w:pPr>
      <w:r>
        <w:rPr>
          <w:rFonts w:hint="eastAsia"/>
          <w:lang w:eastAsia="zh-CN"/>
        </w:rPr>
        <w:t>2.5.1.6  投标方要求的其他记录、试验报告和证件</w:t>
      </w:r>
    </w:p>
    <w:p>
      <w:pPr>
        <w:snapToGrid w:val="0"/>
        <w:spacing w:line="360" w:lineRule="auto"/>
        <w:rPr>
          <w:lang w:eastAsia="zh-CN"/>
        </w:rPr>
      </w:pPr>
      <w:r>
        <w:rPr>
          <w:rFonts w:hint="eastAsia"/>
          <w:lang w:eastAsia="zh-CN"/>
        </w:rPr>
        <w:t>2.5.2   设备和备品管理资料文件(包括设备和备品备件发运和装箱的详细资料，设备和备品备件存放与保管的技术要求)。</w:t>
      </w:r>
    </w:p>
    <w:p>
      <w:pPr>
        <w:snapToGrid w:val="0"/>
        <w:spacing w:line="360" w:lineRule="auto"/>
        <w:rPr>
          <w:lang w:eastAsia="zh-CN"/>
        </w:rPr>
      </w:pPr>
      <w:r>
        <w:rPr>
          <w:rFonts w:hint="eastAsia"/>
          <w:lang w:eastAsia="zh-CN"/>
        </w:rPr>
        <w:t>2.5.3  详细的产品质量文件(包括材质、材质检验、焊接、加工质量、外形尺寸、性能检验/试验等)的证明。</w:t>
      </w:r>
    </w:p>
    <w:p>
      <w:pPr>
        <w:snapToGrid w:val="0"/>
        <w:spacing w:line="360" w:lineRule="auto"/>
        <w:rPr>
          <w:lang w:eastAsia="zh-CN"/>
        </w:rPr>
      </w:pPr>
    </w:p>
    <w:p>
      <w:pPr>
        <w:snapToGrid w:val="0"/>
        <w:spacing w:line="360" w:lineRule="auto"/>
        <w:rPr>
          <w:lang w:eastAsia="zh-CN"/>
        </w:rPr>
      </w:pPr>
      <w:r>
        <w:rPr>
          <w:rFonts w:hint="eastAsia"/>
          <w:lang w:eastAsia="zh-CN"/>
        </w:rPr>
        <w:t>3 交货进度</w:t>
      </w:r>
      <w:bookmarkEnd w:id="45"/>
    </w:p>
    <w:p>
      <w:pPr>
        <w:pStyle w:val="32"/>
        <w:snapToGrid w:val="0"/>
        <w:spacing w:line="360" w:lineRule="auto"/>
        <w:ind w:firstLine="480"/>
        <w:rPr>
          <w:rFonts w:hAnsi="宋体" w:cs="Arial"/>
          <w:sz w:val="24"/>
          <w:lang w:eastAsia="zh-CN"/>
        </w:rPr>
      </w:pPr>
      <w:r>
        <w:rPr>
          <w:rFonts w:hAnsi="宋体" w:cs="Arial"/>
          <w:sz w:val="24"/>
          <w:lang w:eastAsia="zh-CN"/>
        </w:rPr>
        <w:t xml:space="preserve">设备交货顺序按满足工程安装进度的要求，交货进度表如下： </w:t>
      </w:r>
    </w:p>
    <w:p>
      <w:pPr>
        <w:pStyle w:val="32"/>
        <w:snapToGrid w:val="0"/>
        <w:spacing w:line="360" w:lineRule="auto"/>
        <w:jc w:val="center"/>
        <w:rPr>
          <w:rFonts w:hAnsi="宋体" w:cs="Arial"/>
          <w:sz w:val="24"/>
        </w:rPr>
      </w:pPr>
      <w:r>
        <w:rPr>
          <w:rFonts w:hAnsi="宋体" w:cs="Arial"/>
          <w:sz w:val="24"/>
        </w:rPr>
        <w:t>交货进度表</w:t>
      </w:r>
    </w:p>
    <w:tbl>
      <w:tblPr>
        <w:tblStyle w:val="60"/>
        <w:tblW w:w="0" w:type="auto"/>
        <w:tblInd w:w="93" w:type="dxa"/>
        <w:tblLayout w:type="fixed"/>
        <w:tblCellMar>
          <w:top w:w="0" w:type="dxa"/>
          <w:left w:w="108" w:type="dxa"/>
          <w:bottom w:w="0" w:type="dxa"/>
          <w:right w:w="108" w:type="dxa"/>
        </w:tblCellMar>
      </w:tblPr>
      <w:tblGrid>
        <w:gridCol w:w="582"/>
        <w:gridCol w:w="3349"/>
        <w:gridCol w:w="466"/>
        <w:gridCol w:w="434"/>
        <w:gridCol w:w="1550"/>
        <w:gridCol w:w="2466"/>
      </w:tblGrid>
      <w:tr>
        <w:tblPrEx>
          <w:tblCellMar>
            <w:top w:w="0" w:type="dxa"/>
            <w:left w:w="108" w:type="dxa"/>
            <w:bottom w:w="0" w:type="dxa"/>
            <w:right w:w="108" w:type="dxa"/>
          </w:tblCellMar>
        </w:tblPrEx>
        <w:trPr>
          <w:trHeight w:val="300" w:hRule="atLeast"/>
        </w:trPr>
        <w:tc>
          <w:tcPr>
            <w:tcW w:w="582" w:type="dxa"/>
            <w:tcBorders>
              <w:top w:val="single" w:color="auto" w:sz="8" w:space="0"/>
              <w:left w:val="single" w:color="auto" w:sz="8" w:space="0"/>
              <w:bottom w:val="single" w:color="auto" w:sz="8" w:space="0"/>
              <w:right w:val="single" w:color="auto" w:sz="8" w:space="0"/>
            </w:tcBorders>
            <w:vAlign w:val="center"/>
          </w:tcPr>
          <w:p>
            <w:pPr>
              <w:widowControl/>
              <w:spacing w:line="360" w:lineRule="auto"/>
              <w:jc w:val="center"/>
            </w:pPr>
            <w:r>
              <w:rPr>
                <w:rFonts w:hint="eastAsia"/>
              </w:rPr>
              <w:t>序号</w:t>
            </w:r>
          </w:p>
        </w:tc>
        <w:tc>
          <w:tcPr>
            <w:tcW w:w="3349" w:type="dxa"/>
            <w:tcBorders>
              <w:top w:val="single" w:color="auto" w:sz="8" w:space="0"/>
              <w:left w:val="nil"/>
              <w:bottom w:val="single" w:color="auto" w:sz="8" w:space="0"/>
              <w:right w:val="single" w:color="auto" w:sz="8" w:space="0"/>
            </w:tcBorders>
            <w:vAlign w:val="center"/>
          </w:tcPr>
          <w:p>
            <w:pPr>
              <w:widowControl/>
              <w:spacing w:line="360" w:lineRule="auto"/>
              <w:jc w:val="center"/>
            </w:pPr>
            <w:r>
              <w:rPr>
                <w:rFonts w:hint="eastAsia"/>
              </w:rPr>
              <w:t>名称</w:t>
            </w:r>
          </w:p>
        </w:tc>
        <w:tc>
          <w:tcPr>
            <w:tcW w:w="466" w:type="dxa"/>
            <w:tcBorders>
              <w:top w:val="single" w:color="auto" w:sz="8" w:space="0"/>
              <w:left w:val="nil"/>
              <w:bottom w:val="single" w:color="auto" w:sz="8" w:space="0"/>
              <w:right w:val="single" w:color="auto" w:sz="8" w:space="0"/>
            </w:tcBorders>
            <w:vAlign w:val="center"/>
          </w:tcPr>
          <w:p>
            <w:pPr>
              <w:widowControl/>
              <w:spacing w:line="360" w:lineRule="auto"/>
              <w:jc w:val="center"/>
            </w:pPr>
            <w:r>
              <w:rPr>
                <w:rFonts w:hint="eastAsia"/>
              </w:rPr>
              <w:t>单位</w:t>
            </w:r>
          </w:p>
        </w:tc>
        <w:tc>
          <w:tcPr>
            <w:tcW w:w="434" w:type="dxa"/>
            <w:tcBorders>
              <w:top w:val="single" w:color="auto" w:sz="8" w:space="0"/>
              <w:left w:val="nil"/>
              <w:bottom w:val="single" w:color="auto" w:sz="8" w:space="0"/>
              <w:right w:val="single" w:color="auto" w:sz="8" w:space="0"/>
            </w:tcBorders>
            <w:vAlign w:val="center"/>
          </w:tcPr>
          <w:p>
            <w:pPr>
              <w:widowControl/>
              <w:spacing w:line="360" w:lineRule="auto"/>
              <w:jc w:val="center"/>
            </w:pPr>
            <w:r>
              <w:rPr>
                <w:rFonts w:hint="eastAsia"/>
              </w:rPr>
              <w:t>数量</w:t>
            </w:r>
          </w:p>
        </w:tc>
        <w:tc>
          <w:tcPr>
            <w:tcW w:w="1550" w:type="dxa"/>
            <w:tcBorders>
              <w:top w:val="single" w:color="auto" w:sz="8" w:space="0"/>
              <w:left w:val="nil"/>
              <w:bottom w:val="single" w:color="auto" w:sz="8" w:space="0"/>
              <w:right w:val="single" w:color="auto" w:sz="4" w:space="0"/>
            </w:tcBorders>
            <w:vAlign w:val="center"/>
          </w:tcPr>
          <w:p>
            <w:pPr>
              <w:widowControl/>
              <w:spacing w:line="360" w:lineRule="auto"/>
              <w:jc w:val="center"/>
            </w:pPr>
            <w:r>
              <w:rPr>
                <w:rFonts w:hint="eastAsia"/>
              </w:rPr>
              <w:t>规格型号</w:t>
            </w:r>
          </w:p>
        </w:tc>
        <w:tc>
          <w:tcPr>
            <w:tcW w:w="2466" w:type="dxa"/>
            <w:tcBorders>
              <w:top w:val="single" w:color="auto" w:sz="8" w:space="0"/>
              <w:left w:val="single" w:color="auto" w:sz="4" w:space="0"/>
              <w:bottom w:val="single" w:color="auto" w:sz="8" w:space="0"/>
              <w:right w:val="single" w:color="auto" w:sz="8" w:space="0"/>
            </w:tcBorders>
            <w:vAlign w:val="center"/>
          </w:tcPr>
          <w:p>
            <w:pPr>
              <w:widowControl/>
              <w:spacing w:line="360" w:lineRule="auto"/>
              <w:jc w:val="center"/>
            </w:pPr>
            <w:r>
              <w:rPr>
                <w:rFonts w:hint="eastAsia"/>
              </w:rPr>
              <w:t>交货进度表</w:t>
            </w:r>
          </w:p>
        </w:tc>
      </w:tr>
      <w:tr>
        <w:tblPrEx>
          <w:tblCellMar>
            <w:top w:w="0" w:type="dxa"/>
            <w:left w:w="108" w:type="dxa"/>
            <w:bottom w:w="0" w:type="dxa"/>
            <w:right w:w="108" w:type="dxa"/>
          </w:tblCellMar>
        </w:tblPrEx>
        <w:trPr>
          <w:trHeight w:val="584" w:hRule="atLeast"/>
        </w:trPr>
        <w:tc>
          <w:tcPr>
            <w:tcW w:w="582" w:type="dxa"/>
            <w:tcBorders>
              <w:top w:val="nil"/>
              <w:left w:val="single" w:color="auto" w:sz="8" w:space="0"/>
              <w:bottom w:val="single" w:color="auto" w:sz="8" w:space="0"/>
              <w:right w:val="single" w:color="auto" w:sz="8" w:space="0"/>
            </w:tcBorders>
            <w:vAlign w:val="center"/>
          </w:tcPr>
          <w:p>
            <w:pPr>
              <w:widowControl/>
              <w:spacing w:line="360" w:lineRule="auto"/>
              <w:jc w:val="center"/>
            </w:pPr>
            <w:r>
              <w:rPr>
                <w:rFonts w:hint="eastAsia"/>
                <w:szCs w:val="24"/>
              </w:rPr>
              <w:t>1</w:t>
            </w:r>
          </w:p>
        </w:tc>
        <w:tc>
          <w:tcPr>
            <w:tcW w:w="3349" w:type="dxa"/>
            <w:tcBorders>
              <w:top w:val="nil"/>
              <w:left w:val="nil"/>
              <w:bottom w:val="single" w:color="auto" w:sz="8" w:space="0"/>
              <w:right w:val="single" w:color="auto" w:sz="8" w:space="0"/>
            </w:tcBorders>
          </w:tcPr>
          <w:p>
            <w:pPr>
              <w:widowControl/>
              <w:spacing w:line="360" w:lineRule="auto"/>
            </w:pPr>
            <w:r>
              <w:rPr>
                <w:rFonts w:hint="eastAsia"/>
              </w:rPr>
              <w:t>管道</w:t>
            </w:r>
          </w:p>
        </w:tc>
        <w:tc>
          <w:tcPr>
            <w:tcW w:w="466" w:type="dxa"/>
            <w:tcBorders>
              <w:top w:val="nil"/>
              <w:left w:val="nil"/>
              <w:bottom w:val="single" w:color="auto" w:sz="8" w:space="0"/>
              <w:right w:val="single" w:color="auto" w:sz="8" w:space="0"/>
            </w:tcBorders>
            <w:vAlign w:val="center"/>
          </w:tcPr>
          <w:p>
            <w:pPr>
              <w:widowControl/>
              <w:spacing w:line="360" w:lineRule="auto"/>
              <w:jc w:val="center"/>
            </w:pPr>
            <w:r>
              <w:rPr>
                <w:rFonts w:hint="eastAsia"/>
              </w:rPr>
              <w:t>米</w:t>
            </w:r>
          </w:p>
        </w:tc>
        <w:tc>
          <w:tcPr>
            <w:tcW w:w="434" w:type="dxa"/>
            <w:tcBorders>
              <w:top w:val="nil"/>
              <w:left w:val="nil"/>
              <w:bottom w:val="single" w:color="auto" w:sz="8" w:space="0"/>
              <w:right w:val="single" w:color="auto" w:sz="8" w:space="0"/>
            </w:tcBorders>
            <w:vAlign w:val="center"/>
          </w:tcPr>
          <w:p>
            <w:pPr>
              <w:widowControl/>
              <w:spacing w:line="360" w:lineRule="auto"/>
              <w:jc w:val="center"/>
            </w:pPr>
          </w:p>
        </w:tc>
        <w:tc>
          <w:tcPr>
            <w:tcW w:w="1550" w:type="dxa"/>
            <w:tcBorders>
              <w:top w:val="nil"/>
              <w:left w:val="nil"/>
              <w:bottom w:val="single" w:color="auto" w:sz="8" w:space="0"/>
              <w:right w:val="single" w:color="auto" w:sz="4" w:space="0"/>
            </w:tcBorders>
            <w:vAlign w:val="center"/>
          </w:tcPr>
          <w:p>
            <w:pPr>
              <w:widowControl/>
              <w:spacing w:line="360" w:lineRule="auto"/>
              <w:jc w:val="center"/>
              <w:rPr>
                <w:szCs w:val="24"/>
              </w:rPr>
            </w:pPr>
          </w:p>
        </w:tc>
        <w:tc>
          <w:tcPr>
            <w:tcW w:w="2466" w:type="dxa"/>
            <w:vMerge w:val="restart"/>
            <w:tcBorders>
              <w:top w:val="nil"/>
              <w:left w:val="single" w:color="auto" w:sz="4" w:space="0"/>
              <w:right w:val="single" w:color="auto" w:sz="8" w:space="0"/>
            </w:tcBorders>
            <w:vAlign w:val="center"/>
          </w:tcPr>
          <w:p>
            <w:pPr>
              <w:widowControl/>
              <w:spacing w:line="360" w:lineRule="auto"/>
              <w:ind w:firstLine="220" w:firstLineChars="100"/>
              <w:jc w:val="both"/>
              <w:rPr>
                <w:szCs w:val="24"/>
                <w:lang w:eastAsia="zh-CN"/>
              </w:rPr>
            </w:pPr>
            <w:r>
              <w:rPr>
                <w:rFonts w:hint="eastAsia"/>
                <w:szCs w:val="24"/>
                <w:lang w:eastAsia="zh-CN"/>
              </w:rPr>
              <w:t>与电厂协商，以签订合同书注明为准，首台锅炉火检风源管</w:t>
            </w:r>
            <w:r>
              <w:rPr>
                <w:szCs w:val="24"/>
                <w:lang w:eastAsia="zh-CN"/>
              </w:rPr>
              <w:t>系统</w:t>
            </w:r>
            <w:r>
              <w:rPr>
                <w:rFonts w:hint="eastAsia"/>
                <w:szCs w:val="24"/>
                <w:lang w:eastAsia="zh-CN"/>
              </w:rPr>
              <w:t>在合同签订30日内到货。</w:t>
            </w:r>
          </w:p>
        </w:tc>
      </w:tr>
      <w:tr>
        <w:tblPrEx>
          <w:tblCellMar>
            <w:top w:w="0" w:type="dxa"/>
            <w:left w:w="108" w:type="dxa"/>
            <w:bottom w:w="0" w:type="dxa"/>
            <w:right w:w="108" w:type="dxa"/>
          </w:tblCellMar>
        </w:tblPrEx>
        <w:trPr>
          <w:trHeight w:val="300" w:hRule="atLeast"/>
        </w:trPr>
        <w:tc>
          <w:tcPr>
            <w:tcW w:w="582" w:type="dxa"/>
            <w:tcBorders>
              <w:top w:val="nil"/>
              <w:left w:val="single" w:color="auto" w:sz="8" w:space="0"/>
              <w:bottom w:val="single" w:color="auto" w:sz="8" w:space="0"/>
              <w:right w:val="single" w:color="auto" w:sz="8" w:space="0"/>
            </w:tcBorders>
            <w:vAlign w:val="center"/>
          </w:tcPr>
          <w:p>
            <w:pPr>
              <w:widowControl/>
              <w:spacing w:line="360" w:lineRule="auto"/>
              <w:jc w:val="center"/>
            </w:pPr>
            <w:r>
              <w:rPr>
                <w:rFonts w:hint="eastAsia"/>
                <w:szCs w:val="24"/>
              </w:rPr>
              <w:t>2</w:t>
            </w:r>
          </w:p>
        </w:tc>
        <w:tc>
          <w:tcPr>
            <w:tcW w:w="3349" w:type="dxa"/>
            <w:tcBorders>
              <w:top w:val="nil"/>
              <w:left w:val="nil"/>
              <w:bottom w:val="single" w:color="auto" w:sz="8" w:space="0"/>
              <w:right w:val="single" w:color="auto" w:sz="8" w:space="0"/>
            </w:tcBorders>
          </w:tcPr>
          <w:p>
            <w:pPr>
              <w:widowControl/>
              <w:spacing w:line="360" w:lineRule="auto"/>
            </w:pPr>
            <w:r>
              <w:rPr>
                <w:rFonts w:hint="eastAsia"/>
              </w:rPr>
              <w:t>手动隔断门</w:t>
            </w:r>
          </w:p>
        </w:tc>
        <w:tc>
          <w:tcPr>
            <w:tcW w:w="466" w:type="dxa"/>
            <w:tcBorders>
              <w:top w:val="nil"/>
              <w:left w:val="nil"/>
              <w:bottom w:val="single" w:color="auto" w:sz="8" w:space="0"/>
              <w:right w:val="single" w:color="auto" w:sz="8" w:space="0"/>
            </w:tcBorders>
            <w:vAlign w:val="center"/>
          </w:tcPr>
          <w:p>
            <w:pPr>
              <w:widowControl/>
              <w:spacing w:line="360" w:lineRule="auto"/>
              <w:jc w:val="center"/>
            </w:pPr>
            <w:r>
              <w:rPr>
                <w:rFonts w:hint="eastAsia"/>
              </w:rPr>
              <w:t>台</w:t>
            </w:r>
          </w:p>
        </w:tc>
        <w:tc>
          <w:tcPr>
            <w:tcW w:w="434" w:type="dxa"/>
            <w:tcBorders>
              <w:top w:val="nil"/>
              <w:left w:val="nil"/>
              <w:bottom w:val="single" w:color="auto" w:sz="8" w:space="0"/>
              <w:right w:val="single" w:color="auto" w:sz="8" w:space="0"/>
            </w:tcBorders>
            <w:vAlign w:val="center"/>
          </w:tcPr>
          <w:p>
            <w:pPr>
              <w:widowControl/>
              <w:spacing w:line="360" w:lineRule="auto"/>
              <w:jc w:val="center"/>
            </w:pPr>
          </w:p>
        </w:tc>
        <w:tc>
          <w:tcPr>
            <w:tcW w:w="1550" w:type="dxa"/>
            <w:tcBorders>
              <w:top w:val="nil"/>
              <w:left w:val="nil"/>
              <w:bottom w:val="single" w:color="auto" w:sz="8" w:space="0"/>
              <w:right w:val="single" w:color="auto" w:sz="4" w:space="0"/>
            </w:tcBorders>
            <w:vAlign w:val="center"/>
          </w:tcPr>
          <w:p>
            <w:pPr>
              <w:widowControl/>
              <w:spacing w:line="360" w:lineRule="auto"/>
              <w:jc w:val="center"/>
              <w:rPr>
                <w:szCs w:val="24"/>
              </w:rPr>
            </w:pPr>
          </w:p>
        </w:tc>
        <w:tc>
          <w:tcPr>
            <w:tcW w:w="2466" w:type="dxa"/>
            <w:vMerge w:val="continue"/>
            <w:tcBorders>
              <w:left w:val="single" w:color="auto" w:sz="4" w:space="0"/>
              <w:right w:val="single" w:color="auto" w:sz="8" w:space="0"/>
            </w:tcBorders>
            <w:vAlign w:val="center"/>
          </w:tcPr>
          <w:p>
            <w:pPr>
              <w:widowControl/>
              <w:spacing w:line="360" w:lineRule="auto"/>
              <w:jc w:val="center"/>
              <w:rPr>
                <w:szCs w:val="24"/>
              </w:rPr>
            </w:pPr>
          </w:p>
        </w:tc>
      </w:tr>
      <w:tr>
        <w:tblPrEx>
          <w:tblCellMar>
            <w:top w:w="0" w:type="dxa"/>
            <w:left w:w="108" w:type="dxa"/>
            <w:bottom w:w="0" w:type="dxa"/>
            <w:right w:w="108" w:type="dxa"/>
          </w:tblCellMar>
        </w:tblPrEx>
        <w:trPr>
          <w:trHeight w:val="465" w:hRule="atLeast"/>
        </w:trPr>
        <w:tc>
          <w:tcPr>
            <w:tcW w:w="582" w:type="dxa"/>
            <w:tcBorders>
              <w:top w:val="nil"/>
              <w:left w:val="single" w:color="auto" w:sz="8" w:space="0"/>
              <w:bottom w:val="single" w:color="auto" w:sz="4" w:space="0"/>
              <w:right w:val="single" w:color="auto" w:sz="8" w:space="0"/>
            </w:tcBorders>
            <w:vAlign w:val="center"/>
          </w:tcPr>
          <w:p>
            <w:pPr>
              <w:widowControl/>
              <w:spacing w:line="360" w:lineRule="auto"/>
              <w:jc w:val="center"/>
            </w:pPr>
            <w:r>
              <w:rPr>
                <w:rFonts w:hint="eastAsia"/>
                <w:szCs w:val="24"/>
              </w:rPr>
              <w:t>3</w:t>
            </w:r>
          </w:p>
        </w:tc>
        <w:tc>
          <w:tcPr>
            <w:tcW w:w="3349" w:type="dxa"/>
            <w:tcBorders>
              <w:top w:val="nil"/>
              <w:left w:val="nil"/>
              <w:bottom w:val="single" w:color="auto" w:sz="4" w:space="0"/>
              <w:right w:val="single" w:color="auto" w:sz="8" w:space="0"/>
            </w:tcBorders>
          </w:tcPr>
          <w:p>
            <w:pPr>
              <w:widowControl/>
              <w:spacing w:line="360" w:lineRule="auto"/>
            </w:pPr>
            <w:r>
              <w:rPr>
                <w:rFonts w:hint="eastAsia"/>
              </w:rPr>
              <w:t>止回阀</w:t>
            </w:r>
          </w:p>
        </w:tc>
        <w:tc>
          <w:tcPr>
            <w:tcW w:w="466" w:type="dxa"/>
            <w:tcBorders>
              <w:top w:val="nil"/>
              <w:left w:val="nil"/>
              <w:bottom w:val="single" w:color="auto" w:sz="4" w:space="0"/>
              <w:right w:val="single" w:color="auto" w:sz="8" w:space="0"/>
            </w:tcBorders>
            <w:vAlign w:val="center"/>
          </w:tcPr>
          <w:p>
            <w:pPr>
              <w:widowControl/>
              <w:spacing w:line="360" w:lineRule="auto"/>
              <w:jc w:val="center"/>
            </w:pPr>
            <w:r>
              <w:rPr>
                <w:rFonts w:hint="eastAsia"/>
              </w:rPr>
              <w:t>台</w:t>
            </w:r>
          </w:p>
        </w:tc>
        <w:tc>
          <w:tcPr>
            <w:tcW w:w="434" w:type="dxa"/>
            <w:tcBorders>
              <w:top w:val="nil"/>
              <w:left w:val="nil"/>
              <w:bottom w:val="single" w:color="auto" w:sz="4" w:space="0"/>
              <w:right w:val="single" w:color="auto" w:sz="8" w:space="0"/>
            </w:tcBorders>
            <w:vAlign w:val="center"/>
          </w:tcPr>
          <w:p>
            <w:pPr>
              <w:widowControl/>
              <w:spacing w:line="360" w:lineRule="auto"/>
              <w:jc w:val="center"/>
            </w:pPr>
          </w:p>
        </w:tc>
        <w:tc>
          <w:tcPr>
            <w:tcW w:w="1550" w:type="dxa"/>
            <w:tcBorders>
              <w:top w:val="nil"/>
              <w:left w:val="nil"/>
              <w:bottom w:val="single" w:color="auto" w:sz="4" w:space="0"/>
              <w:right w:val="single" w:color="auto" w:sz="4" w:space="0"/>
            </w:tcBorders>
            <w:vAlign w:val="center"/>
          </w:tcPr>
          <w:p>
            <w:pPr>
              <w:widowControl/>
              <w:spacing w:line="360" w:lineRule="auto"/>
              <w:jc w:val="center"/>
              <w:rPr>
                <w:szCs w:val="24"/>
              </w:rPr>
            </w:pPr>
          </w:p>
        </w:tc>
        <w:tc>
          <w:tcPr>
            <w:tcW w:w="2466" w:type="dxa"/>
            <w:vMerge w:val="continue"/>
            <w:tcBorders>
              <w:left w:val="single" w:color="auto" w:sz="4" w:space="0"/>
              <w:right w:val="single" w:color="auto" w:sz="8" w:space="0"/>
            </w:tcBorders>
            <w:vAlign w:val="center"/>
          </w:tcPr>
          <w:p>
            <w:pPr>
              <w:widowControl/>
              <w:spacing w:line="360" w:lineRule="auto"/>
              <w:jc w:val="center"/>
              <w:rPr>
                <w:szCs w:val="24"/>
              </w:rPr>
            </w:pPr>
          </w:p>
        </w:tc>
      </w:tr>
      <w:tr>
        <w:tblPrEx>
          <w:tblCellMar>
            <w:top w:w="0" w:type="dxa"/>
            <w:left w:w="108" w:type="dxa"/>
            <w:bottom w:w="0" w:type="dxa"/>
            <w:right w:w="108" w:type="dxa"/>
          </w:tblCellMar>
        </w:tblPrEx>
        <w:trPr>
          <w:trHeight w:val="465" w:hRule="atLeast"/>
        </w:trPr>
        <w:tc>
          <w:tcPr>
            <w:tcW w:w="582" w:type="dxa"/>
            <w:tcBorders>
              <w:top w:val="nil"/>
              <w:left w:val="single" w:color="auto" w:sz="8" w:space="0"/>
              <w:bottom w:val="single" w:color="auto" w:sz="4" w:space="0"/>
              <w:right w:val="single" w:color="auto" w:sz="8" w:space="0"/>
            </w:tcBorders>
            <w:vAlign w:val="center"/>
          </w:tcPr>
          <w:p>
            <w:pPr>
              <w:widowControl/>
              <w:spacing w:line="360" w:lineRule="auto"/>
              <w:jc w:val="center"/>
            </w:pPr>
            <w:r>
              <w:rPr>
                <w:rFonts w:hint="eastAsia"/>
                <w:szCs w:val="24"/>
              </w:rPr>
              <w:t>4</w:t>
            </w:r>
          </w:p>
        </w:tc>
        <w:tc>
          <w:tcPr>
            <w:tcW w:w="3349" w:type="dxa"/>
            <w:tcBorders>
              <w:top w:val="nil"/>
              <w:left w:val="nil"/>
              <w:bottom w:val="single" w:color="auto" w:sz="4" w:space="0"/>
              <w:right w:val="single" w:color="auto" w:sz="8" w:space="0"/>
            </w:tcBorders>
          </w:tcPr>
          <w:p>
            <w:pPr>
              <w:widowControl/>
              <w:spacing w:line="360" w:lineRule="auto"/>
            </w:pPr>
          </w:p>
        </w:tc>
        <w:tc>
          <w:tcPr>
            <w:tcW w:w="466" w:type="dxa"/>
            <w:tcBorders>
              <w:top w:val="nil"/>
              <w:left w:val="nil"/>
              <w:bottom w:val="single" w:color="auto" w:sz="4" w:space="0"/>
              <w:right w:val="single" w:color="auto" w:sz="8" w:space="0"/>
            </w:tcBorders>
            <w:vAlign w:val="center"/>
          </w:tcPr>
          <w:p>
            <w:pPr>
              <w:widowControl/>
              <w:spacing w:line="360" w:lineRule="auto"/>
              <w:jc w:val="center"/>
            </w:pPr>
          </w:p>
        </w:tc>
        <w:tc>
          <w:tcPr>
            <w:tcW w:w="434" w:type="dxa"/>
            <w:tcBorders>
              <w:top w:val="nil"/>
              <w:left w:val="nil"/>
              <w:bottom w:val="single" w:color="auto" w:sz="4" w:space="0"/>
              <w:right w:val="single" w:color="auto" w:sz="8" w:space="0"/>
            </w:tcBorders>
            <w:vAlign w:val="center"/>
          </w:tcPr>
          <w:p>
            <w:pPr>
              <w:widowControl/>
              <w:spacing w:line="360" w:lineRule="auto"/>
              <w:jc w:val="center"/>
            </w:pPr>
          </w:p>
        </w:tc>
        <w:tc>
          <w:tcPr>
            <w:tcW w:w="1550" w:type="dxa"/>
            <w:tcBorders>
              <w:top w:val="nil"/>
              <w:left w:val="nil"/>
              <w:bottom w:val="single" w:color="auto" w:sz="4" w:space="0"/>
              <w:right w:val="single" w:color="auto" w:sz="4" w:space="0"/>
            </w:tcBorders>
            <w:vAlign w:val="center"/>
          </w:tcPr>
          <w:p>
            <w:pPr>
              <w:widowControl/>
              <w:spacing w:line="360" w:lineRule="auto"/>
              <w:jc w:val="center"/>
              <w:rPr>
                <w:szCs w:val="24"/>
              </w:rPr>
            </w:pPr>
          </w:p>
        </w:tc>
        <w:tc>
          <w:tcPr>
            <w:tcW w:w="2466" w:type="dxa"/>
            <w:vMerge w:val="continue"/>
            <w:tcBorders>
              <w:left w:val="single" w:color="auto" w:sz="4" w:space="0"/>
              <w:right w:val="single" w:color="auto" w:sz="8" w:space="0"/>
            </w:tcBorders>
            <w:vAlign w:val="center"/>
          </w:tcPr>
          <w:p>
            <w:pPr>
              <w:widowControl/>
              <w:spacing w:line="360" w:lineRule="auto"/>
              <w:jc w:val="center"/>
              <w:rPr>
                <w:szCs w:val="24"/>
              </w:rPr>
            </w:pPr>
          </w:p>
        </w:tc>
      </w:tr>
      <w:tr>
        <w:tblPrEx>
          <w:tblCellMar>
            <w:top w:w="0" w:type="dxa"/>
            <w:left w:w="108" w:type="dxa"/>
            <w:bottom w:w="0" w:type="dxa"/>
            <w:right w:w="108" w:type="dxa"/>
          </w:tblCellMar>
        </w:tblPrEx>
        <w:trPr>
          <w:trHeight w:val="465" w:hRule="atLeast"/>
        </w:trPr>
        <w:tc>
          <w:tcPr>
            <w:tcW w:w="582" w:type="dxa"/>
            <w:tcBorders>
              <w:top w:val="single" w:color="auto" w:sz="4" w:space="0"/>
              <w:left w:val="single" w:color="auto" w:sz="8" w:space="0"/>
              <w:bottom w:val="single" w:color="auto" w:sz="4" w:space="0"/>
              <w:right w:val="single" w:color="auto" w:sz="8" w:space="0"/>
            </w:tcBorders>
            <w:vAlign w:val="center"/>
          </w:tcPr>
          <w:p>
            <w:pPr>
              <w:widowControl/>
              <w:spacing w:line="360" w:lineRule="auto"/>
              <w:jc w:val="center"/>
            </w:pPr>
          </w:p>
        </w:tc>
        <w:tc>
          <w:tcPr>
            <w:tcW w:w="3349" w:type="dxa"/>
            <w:tcBorders>
              <w:top w:val="single" w:color="auto" w:sz="4" w:space="0"/>
              <w:left w:val="nil"/>
              <w:bottom w:val="single" w:color="auto" w:sz="4" w:space="0"/>
              <w:right w:val="single" w:color="auto" w:sz="8" w:space="0"/>
            </w:tcBorders>
            <w:vAlign w:val="center"/>
          </w:tcPr>
          <w:p>
            <w:pPr>
              <w:widowControl/>
              <w:spacing w:line="360" w:lineRule="auto"/>
              <w:jc w:val="both"/>
            </w:pPr>
          </w:p>
        </w:tc>
        <w:tc>
          <w:tcPr>
            <w:tcW w:w="466" w:type="dxa"/>
            <w:tcBorders>
              <w:top w:val="single" w:color="auto" w:sz="4" w:space="0"/>
              <w:left w:val="nil"/>
              <w:bottom w:val="single" w:color="auto" w:sz="4" w:space="0"/>
              <w:right w:val="single" w:color="auto" w:sz="8" w:space="0"/>
            </w:tcBorders>
            <w:vAlign w:val="center"/>
          </w:tcPr>
          <w:p>
            <w:pPr>
              <w:widowControl/>
              <w:spacing w:line="360" w:lineRule="auto"/>
              <w:jc w:val="center"/>
            </w:pPr>
          </w:p>
        </w:tc>
        <w:tc>
          <w:tcPr>
            <w:tcW w:w="434" w:type="dxa"/>
            <w:tcBorders>
              <w:top w:val="single" w:color="auto" w:sz="4" w:space="0"/>
              <w:left w:val="nil"/>
              <w:bottom w:val="single" w:color="auto" w:sz="4" w:space="0"/>
              <w:right w:val="single" w:color="auto" w:sz="8" w:space="0"/>
            </w:tcBorders>
            <w:vAlign w:val="center"/>
          </w:tcPr>
          <w:p>
            <w:pPr>
              <w:widowControl/>
              <w:spacing w:line="360" w:lineRule="auto"/>
              <w:jc w:val="center"/>
            </w:pPr>
          </w:p>
        </w:tc>
        <w:tc>
          <w:tcPr>
            <w:tcW w:w="1550" w:type="dxa"/>
            <w:tcBorders>
              <w:top w:val="single" w:color="auto" w:sz="4" w:space="0"/>
              <w:left w:val="nil"/>
              <w:bottom w:val="single" w:color="auto" w:sz="4" w:space="0"/>
              <w:right w:val="single" w:color="auto" w:sz="4" w:space="0"/>
            </w:tcBorders>
            <w:vAlign w:val="center"/>
          </w:tcPr>
          <w:p>
            <w:pPr>
              <w:widowControl/>
              <w:spacing w:line="360" w:lineRule="auto"/>
              <w:jc w:val="center"/>
              <w:rPr>
                <w:szCs w:val="24"/>
              </w:rPr>
            </w:pPr>
          </w:p>
        </w:tc>
        <w:tc>
          <w:tcPr>
            <w:tcW w:w="2466" w:type="dxa"/>
            <w:vMerge w:val="continue"/>
            <w:tcBorders>
              <w:left w:val="single" w:color="auto" w:sz="4" w:space="0"/>
              <w:right w:val="single" w:color="auto" w:sz="8" w:space="0"/>
            </w:tcBorders>
            <w:vAlign w:val="center"/>
          </w:tcPr>
          <w:p>
            <w:pPr>
              <w:widowControl/>
              <w:spacing w:line="360" w:lineRule="auto"/>
              <w:jc w:val="center"/>
              <w:rPr>
                <w:szCs w:val="24"/>
              </w:rPr>
            </w:pPr>
          </w:p>
        </w:tc>
      </w:tr>
      <w:tr>
        <w:tblPrEx>
          <w:tblCellMar>
            <w:top w:w="0" w:type="dxa"/>
            <w:left w:w="108" w:type="dxa"/>
            <w:bottom w:w="0" w:type="dxa"/>
            <w:right w:w="108" w:type="dxa"/>
          </w:tblCellMar>
        </w:tblPrEx>
        <w:trPr>
          <w:trHeight w:val="465" w:hRule="atLeast"/>
        </w:trPr>
        <w:tc>
          <w:tcPr>
            <w:tcW w:w="582" w:type="dxa"/>
            <w:tcBorders>
              <w:top w:val="single" w:color="auto" w:sz="4" w:space="0"/>
              <w:left w:val="single" w:color="auto" w:sz="8" w:space="0"/>
              <w:bottom w:val="single" w:color="auto" w:sz="4" w:space="0"/>
              <w:right w:val="single" w:color="auto" w:sz="8" w:space="0"/>
            </w:tcBorders>
            <w:vAlign w:val="center"/>
          </w:tcPr>
          <w:p>
            <w:pPr>
              <w:widowControl/>
              <w:spacing w:line="360" w:lineRule="auto"/>
              <w:jc w:val="center"/>
            </w:pPr>
          </w:p>
        </w:tc>
        <w:tc>
          <w:tcPr>
            <w:tcW w:w="3349" w:type="dxa"/>
            <w:tcBorders>
              <w:top w:val="single" w:color="auto" w:sz="4" w:space="0"/>
              <w:left w:val="nil"/>
              <w:bottom w:val="single" w:color="auto" w:sz="4" w:space="0"/>
              <w:right w:val="single" w:color="auto" w:sz="8" w:space="0"/>
            </w:tcBorders>
            <w:vAlign w:val="center"/>
          </w:tcPr>
          <w:p>
            <w:pPr>
              <w:widowControl/>
              <w:spacing w:line="360" w:lineRule="auto"/>
              <w:jc w:val="both"/>
            </w:pPr>
          </w:p>
        </w:tc>
        <w:tc>
          <w:tcPr>
            <w:tcW w:w="466" w:type="dxa"/>
            <w:tcBorders>
              <w:top w:val="single" w:color="auto" w:sz="4" w:space="0"/>
              <w:left w:val="nil"/>
              <w:bottom w:val="single" w:color="auto" w:sz="4" w:space="0"/>
              <w:right w:val="single" w:color="auto" w:sz="8" w:space="0"/>
            </w:tcBorders>
            <w:vAlign w:val="center"/>
          </w:tcPr>
          <w:p>
            <w:pPr>
              <w:widowControl/>
              <w:spacing w:line="360" w:lineRule="auto"/>
              <w:jc w:val="center"/>
            </w:pPr>
          </w:p>
        </w:tc>
        <w:tc>
          <w:tcPr>
            <w:tcW w:w="434" w:type="dxa"/>
            <w:tcBorders>
              <w:top w:val="single" w:color="auto" w:sz="4" w:space="0"/>
              <w:left w:val="nil"/>
              <w:bottom w:val="single" w:color="auto" w:sz="4" w:space="0"/>
              <w:right w:val="single" w:color="auto" w:sz="8" w:space="0"/>
            </w:tcBorders>
            <w:vAlign w:val="center"/>
          </w:tcPr>
          <w:p>
            <w:pPr>
              <w:widowControl/>
              <w:spacing w:line="360" w:lineRule="auto"/>
              <w:jc w:val="center"/>
            </w:pPr>
          </w:p>
        </w:tc>
        <w:tc>
          <w:tcPr>
            <w:tcW w:w="1550" w:type="dxa"/>
            <w:tcBorders>
              <w:top w:val="single" w:color="auto" w:sz="4" w:space="0"/>
              <w:left w:val="nil"/>
              <w:bottom w:val="single" w:color="auto" w:sz="4" w:space="0"/>
              <w:right w:val="single" w:color="auto" w:sz="4" w:space="0"/>
            </w:tcBorders>
            <w:vAlign w:val="center"/>
          </w:tcPr>
          <w:p>
            <w:pPr>
              <w:widowControl/>
              <w:spacing w:line="360" w:lineRule="auto"/>
              <w:jc w:val="center"/>
              <w:rPr>
                <w:szCs w:val="24"/>
              </w:rPr>
            </w:pPr>
          </w:p>
        </w:tc>
        <w:tc>
          <w:tcPr>
            <w:tcW w:w="2466" w:type="dxa"/>
            <w:vMerge w:val="continue"/>
            <w:tcBorders>
              <w:left w:val="single" w:color="auto" w:sz="4" w:space="0"/>
              <w:right w:val="single" w:color="auto" w:sz="8" w:space="0"/>
            </w:tcBorders>
            <w:vAlign w:val="center"/>
          </w:tcPr>
          <w:p>
            <w:pPr>
              <w:widowControl/>
              <w:spacing w:line="360" w:lineRule="auto"/>
              <w:jc w:val="center"/>
              <w:rPr>
                <w:szCs w:val="24"/>
              </w:rPr>
            </w:pPr>
          </w:p>
        </w:tc>
      </w:tr>
      <w:tr>
        <w:tblPrEx>
          <w:tblCellMar>
            <w:top w:w="0" w:type="dxa"/>
            <w:left w:w="108" w:type="dxa"/>
            <w:bottom w:w="0" w:type="dxa"/>
            <w:right w:w="108" w:type="dxa"/>
          </w:tblCellMar>
        </w:tblPrEx>
        <w:trPr>
          <w:trHeight w:val="465" w:hRule="atLeast"/>
        </w:trPr>
        <w:tc>
          <w:tcPr>
            <w:tcW w:w="582" w:type="dxa"/>
            <w:tcBorders>
              <w:top w:val="single" w:color="auto" w:sz="4" w:space="0"/>
              <w:left w:val="single" w:color="auto" w:sz="8" w:space="0"/>
              <w:bottom w:val="single" w:color="auto" w:sz="4" w:space="0"/>
              <w:right w:val="single" w:color="auto" w:sz="8" w:space="0"/>
            </w:tcBorders>
            <w:vAlign w:val="center"/>
          </w:tcPr>
          <w:p>
            <w:pPr>
              <w:widowControl/>
              <w:spacing w:line="360" w:lineRule="auto"/>
              <w:jc w:val="center"/>
            </w:pPr>
          </w:p>
        </w:tc>
        <w:tc>
          <w:tcPr>
            <w:tcW w:w="3349" w:type="dxa"/>
            <w:tcBorders>
              <w:top w:val="single" w:color="auto" w:sz="4" w:space="0"/>
              <w:left w:val="nil"/>
              <w:bottom w:val="single" w:color="auto" w:sz="4" w:space="0"/>
              <w:right w:val="single" w:color="auto" w:sz="8" w:space="0"/>
            </w:tcBorders>
            <w:vAlign w:val="center"/>
          </w:tcPr>
          <w:p>
            <w:pPr>
              <w:widowControl/>
              <w:spacing w:line="360" w:lineRule="auto"/>
              <w:jc w:val="both"/>
            </w:pPr>
          </w:p>
        </w:tc>
        <w:tc>
          <w:tcPr>
            <w:tcW w:w="466" w:type="dxa"/>
            <w:tcBorders>
              <w:top w:val="single" w:color="auto" w:sz="4" w:space="0"/>
              <w:left w:val="nil"/>
              <w:bottom w:val="single" w:color="auto" w:sz="4" w:space="0"/>
              <w:right w:val="single" w:color="auto" w:sz="8" w:space="0"/>
            </w:tcBorders>
            <w:vAlign w:val="center"/>
          </w:tcPr>
          <w:p>
            <w:pPr>
              <w:widowControl/>
              <w:spacing w:line="360" w:lineRule="auto"/>
              <w:jc w:val="center"/>
            </w:pPr>
          </w:p>
        </w:tc>
        <w:tc>
          <w:tcPr>
            <w:tcW w:w="434" w:type="dxa"/>
            <w:tcBorders>
              <w:top w:val="single" w:color="auto" w:sz="4" w:space="0"/>
              <w:left w:val="nil"/>
              <w:bottom w:val="single" w:color="auto" w:sz="4" w:space="0"/>
              <w:right w:val="single" w:color="auto" w:sz="8" w:space="0"/>
            </w:tcBorders>
            <w:vAlign w:val="center"/>
          </w:tcPr>
          <w:p>
            <w:pPr>
              <w:widowControl/>
              <w:spacing w:line="360" w:lineRule="auto"/>
              <w:jc w:val="center"/>
            </w:pPr>
          </w:p>
        </w:tc>
        <w:tc>
          <w:tcPr>
            <w:tcW w:w="1550" w:type="dxa"/>
            <w:tcBorders>
              <w:top w:val="single" w:color="auto" w:sz="4" w:space="0"/>
              <w:left w:val="nil"/>
              <w:bottom w:val="single" w:color="auto" w:sz="4" w:space="0"/>
              <w:right w:val="single" w:color="auto" w:sz="4" w:space="0"/>
            </w:tcBorders>
            <w:vAlign w:val="center"/>
          </w:tcPr>
          <w:p>
            <w:pPr>
              <w:widowControl/>
              <w:spacing w:line="360" w:lineRule="auto"/>
              <w:jc w:val="center"/>
              <w:rPr>
                <w:szCs w:val="24"/>
              </w:rPr>
            </w:pPr>
          </w:p>
        </w:tc>
        <w:tc>
          <w:tcPr>
            <w:tcW w:w="2466" w:type="dxa"/>
            <w:vMerge w:val="continue"/>
            <w:tcBorders>
              <w:left w:val="single" w:color="auto" w:sz="4" w:space="0"/>
              <w:bottom w:val="single" w:color="auto" w:sz="4" w:space="0"/>
              <w:right w:val="single" w:color="auto" w:sz="8" w:space="0"/>
            </w:tcBorders>
            <w:vAlign w:val="center"/>
          </w:tcPr>
          <w:p>
            <w:pPr>
              <w:widowControl/>
              <w:spacing w:line="360" w:lineRule="auto"/>
              <w:jc w:val="center"/>
              <w:rPr>
                <w:szCs w:val="24"/>
              </w:rPr>
            </w:pPr>
          </w:p>
        </w:tc>
      </w:tr>
    </w:tbl>
    <w:p>
      <w:pPr>
        <w:pStyle w:val="44"/>
        <w:snapToGrid w:val="0"/>
        <w:spacing w:line="360" w:lineRule="auto"/>
        <w:rPr>
          <w:rFonts w:ascii="宋体" w:hAnsi="宋体"/>
        </w:rPr>
      </w:pPr>
    </w:p>
    <w:p>
      <w:pPr>
        <w:pStyle w:val="44"/>
        <w:snapToGrid w:val="0"/>
        <w:spacing w:line="360" w:lineRule="auto"/>
        <w:rPr>
          <w:rFonts w:ascii="宋体" w:hAnsi="宋体"/>
        </w:rPr>
      </w:pPr>
      <w:r>
        <w:rPr>
          <w:rFonts w:hint="eastAsia" w:ascii="宋体" w:hAnsi="宋体"/>
        </w:rPr>
        <w:t>说明：</w:t>
      </w:r>
    </w:p>
    <w:p>
      <w:pPr>
        <w:snapToGrid w:val="0"/>
        <w:spacing w:line="360" w:lineRule="auto"/>
        <w:rPr>
          <w:lang w:eastAsia="zh-CN"/>
        </w:rPr>
      </w:pPr>
      <w:r>
        <w:rPr>
          <w:rFonts w:hint="eastAsia"/>
          <w:lang w:eastAsia="zh-CN"/>
        </w:rPr>
        <w:t>1.具体交货时间根据合同</w:t>
      </w:r>
      <w:r>
        <w:rPr>
          <w:lang w:eastAsia="zh-CN"/>
        </w:rPr>
        <w:t>签订时间</w:t>
      </w:r>
      <w:r>
        <w:rPr>
          <w:rFonts w:hint="eastAsia"/>
          <w:lang w:eastAsia="zh-CN"/>
        </w:rPr>
        <w:t>确定，投标方应满足工程进度的要求。</w:t>
      </w:r>
    </w:p>
    <w:bookmarkEnd w:id="2"/>
    <w:bookmarkEnd w:id="3"/>
    <w:bookmarkEnd w:id="4"/>
    <w:p>
      <w:pPr>
        <w:spacing w:line="360" w:lineRule="auto"/>
        <w:rPr>
          <w:lang w:eastAsia="zh-CN"/>
        </w:rPr>
        <w:sectPr>
          <w:pgSz w:w="11907" w:h="16840"/>
          <w:pgMar w:top="1474" w:right="1474" w:bottom="1474" w:left="993" w:header="964" w:footer="964" w:gutter="567"/>
          <w:cols w:space="720" w:num="1"/>
          <w:docGrid w:linePitch="312" w:charSpace="0"/>
        </w:sectPr>
      </w:pPr>
      <w:bookmarkStart w:id="46" w:name="_Toc513014514"/>
      <w:bookmarkStart w:id="47" w:name="_Toc42495398"/>
      <w:bookmarkStart w:id="48" w:name="_Toc501817570"/>
      <w:r>
        <w:rPr>
          <w:lang w:eastAsia="zh-CN"/>
        </w:rPr>
        <w:t>2.</w:t>
      </w:r>
      <w:r>
        <w:rPr>
          <w:rFonts w:hint="eastAsia"/>
          <w:lang w:eastAsia="zh-CN"/>
        </w:rPr>
        <w:t>具体</w:t>
      </w:r>
      <w:r>
        <w:rPr>
          <w:lang w:eastAsia="zh-CN"/>
        </w:rPr>
        <w:t>锅炉施工时间，根据公司生产</w:t>
      </w:r>
      <w:r>
        <w:rPr>
          <w:rFonts w:hint="eastAsia"/>
          <w:lang w:eastAsia="zh-CN"/>
        </w:rPr>
        <w:t>安排</w:t>
      </w:r>
      <w:r>
        <w:rPr>
          <w:lang w:eastAsia="zh-CN"/>
        </w:rPr>
        <w:t>进行调整</w:t>
      </w:r>
      <w:r>
        <w:rPr>
          <w:rFonts w:hint="eastAsia"/>
          <w:lang w:eastAsia="zh-CN"/>
        </w:rPr>
        <w:t>，</w:t>
      </w:r>
      <w:r>
        <w:rPr>
          <w:lang w:eastAsia="zh-CN"/>
        </w:rPr>
        <w:t>因</w:t>
      </w:r>
      <w:r>
        <w:rPr>
          <w:rFonts w:hint="eastAsia"/>
          <w:lang w:eastAsia="zh-CN"/>
        </w:rPr>
        <w:t>生产</w:t>
      </w:r>
      <w:r>
        <w:rPr>
          <w:lang w:eastAsia="zh-CN"/>
        </w:rPr>
        <w:t>安排造成超工期，不予考核</w:t>
      </w:r>
      <w:r>
        <w:rPr>
          <w:rFonts w:hint="eastAsia"/>
          <w:lang w:eastAsia="zh-CN"/>
        </w:rPr>
        <w:t>。</w:t>
      </w:r>
    </w:p>
    <w:p>
      <w:pPr>
        <w:pStyle w:val="3"/>
        <w:rPr>
          <w:lang w:eastAsia="zh-CN"/>
        </w:rPr>
      </w:pPr>
      <w:bookmarkStart w:id="49" w:name="_Toc103591623"/>
      <w:r>
        <w:rPr>
          <w:rFonts w:hint="eastAsia"/>
          <w:lang w:eastAsia="zh-CN"/>
        </w:rPr>
        <w:t>附件四  性能验收试验</w:t>
      </w:r>
      <w:bookmarkEnd w:id="46"/>
      <w:bookmarkEnd w:id="47"/>
      <w:bookmarkEnd w:id="48"/>
      <w:bookmarkEnd w:id="49"/>
      <w:bookmarkStart w:id="50" w:name="_Toc513014515"/>
      <w:bookmarkStart w:id="51" w:name="_Toc501817571"/>
    </w:p>
    <w:p>
      <w:pPr>
        <w:snapToGrid w:val="0"/>
        <w:spacing w:line="360" w:lineRule="auto"/>
        <w:rPr>
          <w:lang w:eastAsia="zh-CN"/>
        </w:rPr>
      </w:pPr>
      <w:r>
        <w:rPr>
          <w:lang w:eastAsia="zh-CN"/>
        </w:rPr>
        <w:t>1</w:t>
      </w:r>
      <w:r>
        <w:rPr>
          <w:rFonts w:hint="eastAsia"/>
          <w:lang w:eastAsia="zh-CN"/>
        </w:rPr>
        <w:t>概述</w:t>
      </w:r>
      <w:bookmarkEnd w:id="50"/>
      <w:bookmarkEnd w:id="51"/>
    </w:p>
    <w:p>
      <w:pPr>
        <w:snapToGrid w:val="0"/>
        <w:spacing w:line="360" w:lineRule="auto"/>
        <w:rPr>
          <w:lang w:eastAsia="zh-CN"/>
        </w:rPr>
      </w:pPr>
      <w:r>
        <w:rPr>
          <w:rFonts w:hint="eastAsia"/>
          <w:lang w:eastAsia="zh-CN"/>
        </w:rPr>
        <w:t>1.1 本章用于合同执行期间对投标方所提供的设备(包括对分包外购设备)进行性能验收试验，确保投标方所提供的设备符合本技术规范的要求。</w:t>
      </w:r>
    </w:p>
    <w:p>
      <w:pPr>
        <w:snapToGrid w:val="0"/>
        <w:spacing w:line="360" w:lineRule="auto"/>
        <w:rPr>
          <w:lang w:eastAsia="zh-CN"/>
        </w:rPr>
      </w:pPr>
      <w:r>
        <w:rPr>
          <w:rFonts w:hint="eastAsia"/>
          <w:lang w:eastAsia="zh-CN"/>
        </w:rPr>
        <w:t>1.2 投标方应在合同生效后</w:t>
      </w:r>
      <w:r>
        <w:rPr>
          <w:lang w:eastAsia="zh-CN"/>
        </w:rPr>
        <w:t>15</w:t>
      </w:r>
      <w:r>
        <w:rPr>
          <w:rFonts w:hint="eastAsia"/>
          <w:lang w:eastAsia="zh-CN"/>
        </w:rPr>
        <w:t>日内，向招标方提供与本合同设备有关的性能验收试验标准。有关标准应符合本技术规范的规定。</w:t>
      </w:r>
    </w:p>
    <w:p>
      <w:pPr>
        <w:snapToGrid w:val="0"/>
        <w:spacing w:line="360" w:lineRule="auto"/>
        <w:rPr>
          <w:lang w:eastAsia="zh-CN"/>
        </w:rPr>
      </w:pPr>
      <w:bookmarkStart w:id="52" w:name="_Toc513014516"/>
      <w:bookmarkStart w:id="53" w:name="_Toc501817572"/>
      <w:r>
        <w:rPr>
          <w:rFonts w:hint="eastAsia"/>
          <w:lang w:eastAsia="zh-CN"/>
        </w:rPr>
        <w:t>2工厂检查</w:t>
      </w:r>
      <w:bookmarkEnd w:id="52"/>
      <w:bookmarkEnd w:id="53"/>
    </w:p>
    <w:p>
      <w:pPr>
        <w:spacing w:line="360" w:lineRule="auto"/>
        <w:rPr>
          <w:lang w:eastAsia="zh-CN"/>
        </w:rPr>
      </w:pPr>
      <w:bookmarkStart w:id="54" w:name="_Toc501817573"/>
      <w:bookmarkStart w:id="55" w:name="_Toc513014517"/>
      <w:r>
        <w:rPr>
          <w:rFonts w:hint="eastAsia"/>
          <w:lang w:eastAsia="zh-CN"/>
        </w:rPr>
        <w:t>2.1 工厂检验是质量控制的一个重要组成部分。投标方将严格进行厂内各生产环节的检验和试验。同时向招标方提供的设备都应有质量证明、检验记录和测试报告，并且作为交货时质量证明文件的组成部分。</w:t>
      </w:r>
    </w:p>
    <w:p>
      <w:pPr>
        <w:spacing w:line="360" w:lineRule="auto"/>
        <w:rPr>
          <w:lang w:eastAsia="zh-CN"/>
        </w:rPr>
      </w:pPr>
      <w:r>
        <w:rPr>
          <w:rFonts w:hint="eastAsia"/>
          <w:lang w:eastAsia="zh-CN"/>
        </w:rPr>
        <w:t>2.2工厂检查的范围包括原材料和元器件的进厂，部件的加工、组装、试验、出厂试验。</w:t>
      </w:r>
    </w:p>
    <w:p>
      <w:pPr>
        <w:spacing w:line="360" w:lineRule="auto"/>
        <w:rPr>
          <w:lang w:eastAsia="zh-CN"/>
        </w:rPr>
      </w:pPr>
      <w:r>
        <w:rPr>
          <w:rFonts w:hint="eastAsia"/>
          <w:lang w:eastAsia="zh-CN"/>
        </w:rPr>
        <w:t>2.3投标方检验的结果都将满足本技术规范书的要求，如有不符之处或达不到标准要求，投标方将及时采取措施处理直至满足要求，同时向招标方提交不一致性报告。如投标方发生重大质量问题时将情况及时通知招标方，处理措施应经招标方认可。</w:t>
      </w:r>
    </w:p>
    <w:p>
      <w:pPr>
        <w:spacing w:line="360" w:lineRule="auto"/>
        <w:rPr>
          <w:lang w:eastAsia="zh-CN"/>
        </w:rPr>
      </w:pPr>
      <w:r>
        <w:rPr>
          <w:rFonts w:hint="eastAsia"/>
          <w:lang w:eastAsia="zh-CN"/>
        </w:rPr>
        <w:t>2.4 工厂检验的所有费用包括在合同总价中。</w:t>
      </w:r>
    </w:p>
    <w:p>
      <w:pPr>
        <w:snapToGrid w:val="0"/>
        <w:spacing w:line="360" w:lineRule="auto"/>
        <w:rPr>
          <w:kern w:val="44"/>
          <w:lang w:eastAsia="zh-CN"/>
        </w:rPr>
      </w:pPr>
      <w:r>
        <w:rPr>
          <w:rFonts w:hint="eastAsia"/>
          <w:kern w:val="44"/>
          <w:lang w:eastAsia="zh-CN"/>
        </w:rPr>
        <w:t>2.5无论招标方是否参出厂检验,并且签了检验报告,均不能视为投标方按合同规定承担的质量保证责任的解除,也不能免除投标方对设备质量的责任。</w:t>
      </w:r>
    </w:p>
    <w:bookmarkEnd w:id="54"/>
    <w:bookmarkEnd w:id="55"/>
    <w:p>
      <w:pPr>
        <w:snapToGrid w:val="0"/>
        <w:spacing w:line="360" w:lineRule="auto"/>
        <w:rPr>
          <w:lang w:eastAsia="zh-CN"/>
        </w:rPr>
      </w:pPr>
      <w:bookmarkStart w:id="56" w:name="_Toc513014518"/>
      <w:bookmarkStart w:id="57" w:name="_Toc501817574"/>
      <w:r>
        <w:rPr>
          <w:lang w:eastAsia="zh-CN"/>
        </w:rPr>
        <w:t>3</w:t>
      </w:r>
      <w:r>
        <w:rPr>
          <w:rFonts w:hint="eastAsia"/>
          <w:lang w:eastAsia="zh-CN"/>
        </w:rPr>
        <w:t xml:space="preserve"> 性能验收试验</w:t>
      </w:r>
      <w:bookmarkEnd w:id="56"/>
      <w:bookmarkEnd w:id="57"/>
    </w:p>
    <w:p>
      <w:pPr>
        <w:snapToGrid w:val="0"/>
        <w:spacing w:line="360" w:lineRule="auto"/>
        <w:rPr>
          <w:lang w:eastAsia="zh-CN"/>
        </w:rPr>
      </w:pPr>
      <w:r>
        <w:rPr>
          <w:lang w:eastAsia="zh-CN"/>
        </w:rPr>
        <w:t>3</w:t>
      </w:r>
      <w:r>
        <w:rPr>
          <w:rFonts w:hint="eastAsia"/>
          <w:lang w:eastAsia="zh-CN"/>
        </w:rPr>
        <w:t>.1 性能验收试验的目的为了检验合同设备的所有性能是否符合技术规范的要求。</w:t>
      </w:r>
    </w:p>
    <w:p>
      <w:pPr>
        <w:snapToGrid w:val="0"/>
        <w:spacing w:line="360" w:lineRule="auto"/>
        <w:rPr>
          <w:lang w:eastAsia="zh-CN"/>
        </w:rPr>
      </w:pPr>
      <w:r>
        <w:rPr>
          <w:lang w:eastAsia="zh-CN"/>
        </w:rPr>
        <w:t>3</w:t>
      </w:r>
      <w:r>
        <w:rPr>
          <w:rFonts w:hint="eastAsia"/>
          <w:lang w:eastAsia="zh-CN"/>
        </w:rPr>
        <w:t>.2 性能验收试验的地点由合同确定，一般为招标方现场。</w:t>
      </w:r>
    </w:p>
    <w:p>
      <w:pPr>
        <w:snapToGrid w:val="0"/>
        <w:spacing w:line="360" w:lineRule="auto"/>
        <w:rPr>
          <w:lang w:eastAsia="zh-CN"/>
        </w:rPr>
      </w:pPr>
      <w:r>
        <w:rPr>
          <w:lang w:eastAsia="zh-CN"/>
        </w:rPr>
        <w:t>3</w:t>
      </w:r>
      <w:r>
        <w:rPr>
          <w:rFonts w:hint="eastAsia"/>
          <w:lang w:eastAsia="zh-CN"/>
        </w:rPr>
        <w:t>.3 性能验收试验的时间：机组性能试验一般在168小时试运之后半年内进行，具体试验时间由买卖双方协商确定。</w:t>
      </w:r>
    </w:p>
    <w:p>
      <w:pPr>
        <w:snapToGrid w:val="0"/>
        <w:spacing w:line="360" w:lineRule="auto"/>
        <w:rPr>
          <w:lang w:eastAsia="zh-CN"/>
        </w:rPr>
      </w:pPr>
      <w:r>
        <w:rPr>
          <w:lang w:eastAsia="zh-CN"/>
        </w:rPr>
        <w:t>3</w:t>
      </w:r>
      <w:r>
        <w:rPr>
          <w:rFonts w:hint="eastAsia"/>
          <w:lang w:eastAsia="zh-CN"/>
        </w:rPr>
        <w:t>.</w:t>
      </w:r>
      <w:r>
        <w:rPr>
          <w:lang w:eastAsia="zh-CN"/>
        </w:rPr>
        <w:t>4</w:t>
      </w:r>
      <w:r>
        <w:rPr>
          <w:rFonts w:hint="eastAsia"/>
          <w:lang w:eastAsia="zh-CN"/>
        </w:rPr>
        <w:t xml:space="preserve"> 性能验收试验的标准和方法</w:t>
      </w:r>
    </w:p>
    <w:p>
      <w:pPr>
        <w:snapToGrid w:val="0"/>
        <w:spacing w:line="360" w:lineRule="auto"/>
        <w:rPr>
          <w:szCs w:val="28"/>
          <w:lang w:eastAsia="zh-CN"/>
        </w:rPr>
      </w:pPr>
      <w:r>
        <w:rPr>
          <w:rFonts w:hint="eastAsia"/>
          <w:szCs w:val="28"/>
          <w:lang w:eastAsia="zh-CN"/>
        </w:rPr>
        <w:t>(1)</w:t>
      </w:r>
      <w:r>
        <w:rPr>
          <w:szCs w:val="28"/>
          <w:lang w:eastAsia="zh-CN"/>
        </w:rPr>
        <w:t>各类防腐涂料的施工按有关标准施工。</w:t>
      </w:r>
    </w:p>
    <w:p>
      <w:pPr>
        <w:snapToGrid w:val="0"/>
        <w:spacing w:line="360" w:lineRule="auto"/>
        <w:jc w:val="both"/>
        <w:rPr>
          <w:szCs w:val="28"/>
          <w:lang w:eastAsia="zh-CN"/>
        </w:rPr>
      </w:pPr>
      <w:r>
        <w:rPr>
          <w:rFonts w:hint="eastAsia"/>
          <w:szCs w:val="28"/>
          <w:lang w:eastAsia="zh-CN"/>
        </w:rPr>
        <w:t>(2)</w:t>
      </w:r>
      <w:r>
        <w:rPr>
          <w:szCs w:val="28"/>
          <w:lang w:eastAsia="zh-CN"/>
        </w:rPr>
        <w:t>机械转动装置的轴承及转动部分的安装参照《电力建设施工及验收收集规范锅炉机组篇》（DL-T5047-95）有关规定执行。</w:t>
      </w:r>
    </w:p>
    <w:p>
      <w:pPr>
        <w:snapToGrid w:val="0"/>
        <w:spacing w:line="360" w:lineRule="auto"/>
        <w:jc w:val="both"/>
        <w:rPr>
          <w:szCs w:val="28"/>
          <w:lang w:eastAsia="zh-CN"/>
        </w:rPr>
      </w:pPr>
      <w:r>
        <w:rPr>
          <w:rFonts w:hint="eastAsia"/>
          <w:szCs w:val="28"/>
          <w:lang w:eastAsia="zh-CN"/>
        </w:rPr>
        <w:t>(3)</w:t>
      </w:r>
      <w:r>
        <w:rPr>
          <w:szCs w:val="28"/>
          <w:lang w:eastAsia="zh-CN"/>
        </w:rPr>
        <w:t>噪声源声功率级的测定简易法，GB3768-83</w:t>
      </w:r>
    </w:p>
    <w:p>
      <w:pPr>
        <w:snapToGrid w:val="0"/>
        <w:spacing w:line="360" w:lineRule="auto"/>
        <w:jc w:val="both"/>
        <w:rPr>
          <w:szCs w:val="28"/>
          <w:lang w:eastAsia="zh-CN"/>
        </w:rPr>
      </w:pPr>
      <w:r>
        <w:rPr>
          <w:rFonts w:hint="eastAsia"/>
          <w:szCs w:val="28"/>
          <w:lang w:eastAsia="zh-CN"/>
        </w:rPr>
        <w:t>(4)</w:t>
      </w:r>
      <w:r>
        <w:rPr>
          <w:szCs w:val="28"/>
          <w:lang w:eastAsia="zh-CN"/>
        </w:rPr>
        <w:t>焊接件通用技术要求，JB/ZQ4000.3-86</w:t>
      </w:r>
    </w:p>
    <w:p>
      <w:pPr>
        <w:snapToGrid w:val="0"/>
        <w:spacing w:line="360" w:lineRule="auto"/>
        <w:jc w:val="both"/>
        <w:rPr>
          <w:szCs w:val="28"/>
          <w:lang w:eastAsia="zh-CN"/>
        </w:rPr>
      </w:pPr>
      <w:r>
        <w:rPr>
          <w:rFonts w:hint="eastAsia"/>
          <w:szCs w:val="28"/>
          <w:lang w:eastAsia="zh-CN"/>
        </w:rPr>
        <w:t>(5)</w:t>
      </w:r>
      <w:r>
        <w:rPr>
          <w:szCs w:val="28"/>
          <w:lang w:eastAsia="zh-CN"/>
        </w:rPr>
        <w:t>产品标牌，JB138-82</w:t>
      </w:r>
    </w:p>
    <w:p>
      <w:pPr>
        <w:snapToGrid w:val="0"/>
        <w:spacing w:line="360" w:lineRule="auto"/>
        <w:jc w:val="both"/>
        <w:rPr>
          <w:szCs w:val="28"/>
          <w:lang w:eastAsia="zh-CN"/>
        </w:rPr>
      </w:pPr>
      <w:r>
        <w:rPr>
          <w:rFonts w:hint="eastAsia"/>
          <w:szCs w:val="28"/>
          <w:lang w:eastAsia="zh-CN"/>
        </w:rPr>
        <w:t>(6)</w:t>
      </w:r>
      <w:r>
        <w:rPr>
          <w:szCs w:val="28"/>
          <w:lang w:eastAsia="zh-CN"/>
        </w:rPr>
        <w:t>包装储运图示标志，GB191-90</w:t>
      </w:r>
    </w:p>
    <w:p>
      <w:pPr>
        <w:snapToGrid w:val="0"/>
        <w:spacing w:line="360" w:lineRule="auto"/>
        <w:rPr>
          <w:lang w:eastAsia="zh-CN"/>
        </w:rPr>
      </w:pPr>
      <w:r>
        <w:rPr>
          <w:lang w:eastAsia="zh-CN"/>
        </w:rPr>
        <w:t>3</w:t>
      </w:r>
      <w:r>
        <w:rPr>
          <w:rFonts w:hint="eastAsia"/>
          <w:lang w:eastAsia="zh-CN"/>
        </w:rPr>
        <w:t>.</w:t>
      </w:r>
      <w:r>
        <w:rPr>
          <w:lang w:eastAsia="zh-CN"/>
        </w:rPr>
        <w:t xml:space="preserve">5 </w:t>
      </w:r>
      <w:r>
        <w:rPr>
          <w:rFonts w:hint="eastAsia"/>
          <w:lang w:eastAsia="zh-CN"/>
        </w:rPr>
        <w:t>性能验收试验结果的确认</w:t>
      </w:r>
    </w:p>
    <w:p>
      <w:pPr>
        <w:snapToGrid w:val="0"/>
        <w:spacing w:line="360" w:lineRule="auto"/>
        <w:ind w:firstLine="440" w:firstLineChars="200"/>
        <w:rPr>
          <w:lang w:eastAsia="zh-CN"/>
        </w:rPr>
      </w:pPr>
      <w:r>
        <w:rPr>
          <w:rFonts w:hint="eastAsia"/>
          <w:lang w:eastAsia="zh-CN"/>
        </w:rPr>
        <w:t>性能验收试验报告由测试单位编写，报告结论招标方与投标方均应承认。如双方对试验的结果有不一致意见，双方协商解决；如仍不能达成一致，则提交双方上级部门协商。</w:t>
      </w:r>
    </w:p>
    <w:p>
      <w:pPr>
        <w:pStyle w:val="26"/>
        <w:snapToGrid w:val="0"/>
        <w:ind w:left="565" w:firstLine="415" w:firstLineChars="189"/>
        <w:rPr>
          <w:rFonts w:ascii="宋体" w:hAnsi="宋体" w:cs="宋体"/>
          <w:i w:val="0"/>
          <w:iCs w:val="0"/>
          <w:kern w:val="0"/>
          <w:sz w:val="22"/>
          <w:szCs w:val="22"/>
        </w:rPr>
      </w:pPr>
      <w:r>
        <w:rPr>
          <w:rFonts w:hint="eastAsia" w:ascii="宋体" w:hAnsi="宋体" w:cs="宋体"/>
          <w:i w:val="0"/>
          <w:iCs w:val="0"/>
          <w:kern w:val="0"/>
          <w:sz w:val="22"/>
          <w:szCs w:val="22"/>
        </w:rPr>
        <w:t>进行性能验收试验时，一方接到另一方试验通知而不派人参加试验，则被视为对验收试验结果的同意。</w:t>
      </w:r>
    </w:p>
    <w:p>
      <w:pPr>
        <w:snapToGrid w:val="0"/>
        <w:spacing w:line="360" w:lineRule="auto"/>
        <w:rPr>
          <w:lang w:eastAsia="zh-CN"/>
        </w:rPr>
      </w:pPr>
      <w:bookmarkStart w:id="58" w:name="_Toc488922627"/>
      <w:bookmarkStart w:id="59" w:name="_Toc42495399"/>
    </w:p>
    <w:p>
      <w:pPr>
        <w:pStyle w:val="3"/>
        <w:rPr>
          <w:lang w:eastAsia="zh-CN"/>
        </w:rPr>
      </w:pPr>
      <w:r>
        <w:rPr>
          <w:lang w:eastAsia="zh-CN"/>
        </w:rPr>
        <w:br w:type="page"/>
      </w:r>
      <w:bookmarkStart w:id="60" w:name="_Toc103591624"/>
      <w:r>
        <w:rPr>
          <w:rFonts w:hint="eastAsia"/>
          <w:lang w:eastAsia="zh-CN"/>
        </w:rPr>
        <w:t>附件五  工期要求</w:t>
      </w:r>
      <w:bookmarkEnd w:id="60"/>
    </w:p>
    <w:p>
      <w:pPr>
        <w:snapToGrid w:val="0"/>
        <w:spacing w:line="360" w:lineRule="auto"/>
        <w:ind w:firstLine="440" w:firstLineChars="200"/>
        <w:rPr>
          <w:lang w:eastAsia="zh-CN"/>
        </w:rPr>
        <w:sectPr>
          <w:pgSz w:w="11907" w:h="16840"/>
          <w:pgMar w:top="1474" w:right="1474" w:bottom="1474" w:left="1134" w:header="964" w:footer="964" w:gutter="567"/>
          <w:cols w:space="720" w:num="1"/>
          <w:docGrid w:linePitch="312" w:charSpace="0"/>
        </w:sectPr>
      </w:pPr>
      <w:r>
        <w:rPr>
          <w:rFonts w:hint="eastAsia"/>
          <w:szCs w:val="24"/>
          <w:lang w:eastAsia="zh-CN"/>
        </w:rPr>
        <w:t>本项目</w:t>
      </w:r>
      <w:r>
        <w:rPr>
          <w:szCs w:val="24"/>
          <w:lang w:eastAsia="zh-CN"/>
        </w:rPr>
        <w:t>工期</w:t>
      </w:r>
      <w:r>
        <w:rPr>
          <w:rFonts w:hint="eastAsia"/>
          <w:szCs w:val="24"/>
          <w:lang w:eastAsia="zh-CN"/>
        </w:rPr>
        <w:t>为</w:t>
      </w:r>
      <w:r>
        <w:rPr>
          <w:szCs w:val="24"/>
          <w:lang w:eastAsia="zh-CN"/>
        </w:rPr>
        <w:t>：合同生效后1</w:t>
      </w:r>
      <w:r>
        <w:rPr>
          <w:rFonts w:hint="eastAsia"/>
          <w:szCs w:val="24"/>
          <w:lang w:eastAsia="zh-CN"/>
        </w:rPr>
        <w:t>2</w:t>
      </w:r>
      <w:r>
        <w:rPr>
          <w:szCs w:val="24"/>
          <w:lang w:eastAsia="zh-CN"/>
        </w:rPr>
        <w:t>0天内（包含节假日）完成安装调试并移交招标人</w:t>
      </w:r>
      <w:r>
        <w:rPr>
          <w:rFonts w:hint="eastAsia"/>
          <w:szCs w:val="24"/>
          <w:lang w:eastAsia="zh-CN"/>
        </w:rPr>
        <w:t>，其中首台锅炉火检</w:t>
      </w:r>
      <w:r>
        <w:rPr>
          <w:szCs w:val="24"/>
          <w:lang w:eastAsia="zh-CN"/>
        </w:rPr>
        <w:t>风源管改造</w:t>
      </w:r>
      <w:r>
        <w:rPr>
          <w:rFonts w:hint="eastAsia"/>
          <w:szCs w:val="24"/>
          <w:lang w:eastAsia="zh-CN"/>
        </w:rPr>
        <w:t>须在合同生效后3</w:t>
      </w:r>
      <w:r>
        <w:rPr>
          <w:szCs w:val="24"/>
          <w:lang w:eastAsia="zh-CN"/>
        </w:rPr>
        <w:t>5</w:t>
      </w:r>
      <w:r>
        <w:rPr>
          <w:rFonts w:hint="eastAsia"/>
          <w:szCs w:val="24"/>
          <w:lang w:eastAsia="zh-CN"/>
        </w:rPr>
        <w:t>天内</w:t>
      </w:r>
      <w:r>
        <w:rPr>
          <w:szCs w:val="24"/>
          <w:lang w:eastAsia="zh-CN"/>
        </w:rPr>
        <w:t>（包含节假日）</w:t>
      </w:r>
      <w:r>
        <w:rPr>
          <w:rFonts w:hint="eastAsia"/>
          <w:szCs w:val="24"/>
          <w:lang w:eastAsia="zh-CN"/>
        </w:rPr>
        <w:t>具备开工改造条件</w:t>
      </w:r>
      <w:r>
        <w:rPr>
          <w:szCs w:val="24"/>
          <w:lang w:eastAsia="zh-CN"/>
        </w:rPr>
        <w:t>。</w:t>
      </w:r>
    </w:p>
    <w:bookmarkEnd w:id="58"/>
    <w:p>
      <w:pPr>
        <w:pStyle w:val="3"/>
        <w:rPr>
          <w:lang w:eastAsia="zh-CN"/>
        </w:rPr>
      </w:pPr>
      <w:bookmarkStart w:id="61" w:name="_Toc103591625"/>
      <w:r>
        <w:rPr>
          <w:rFonts w:hint="eastAsia"/>
          <w:lang w:eastAsia="zh-CN"/>
        </w:rPr>
        <w:t>附件六  技术服务和联络</w:t>
      </w:r>
      <w:bookmarkEnd w:id="59"/>
      <w:bookmarkEnd w:id="61"/>
    </w:p>
    <w:p>
      <w:pPr>
        <w:snapToGrid w:val="0"/>
        <w:spacing w:line="360" w:lineRule="auto"/>
        <w:rPr>
          <w:lang w:eastAsia="zh-CN"/>
        </w:rPr>
      </w:pPr>
      <w:r>
        <w:rPr>
          <w:lang w:eastAsia="zh-CN"/>
        </w:rPr>
        <w:t xml:space="preserve">1 </w:t>
      </w:r>
      <w:r>
        <w:rPr>
          <w:rFonts w:hint="eastAsia"/>
          <w:lang w:eastAsia="zh-CN"/>
        </w:rPr>
        <w:t>投标方现场技术服务</w:t>
      </w:r>
    </w:p>
    <w:p>
      <w:pPr>
        <w:tabs>
          <w:tab w:val="left" w:pos="240"/>
          <w:tab w:val="left" w:pos="600"/>
          <w:tab w:val="left" w:pos="840"/>
        </w:tabs>
        <w:snapToGrid w:val="0"/>
        <w:spacing w:line="360" w:lineRule="auto"/>
        <w:rPr>
          <w:lang w:eastAsia="zh-CN"/>
        </w:rPr>
      </w:pPr>
      <w:r>
        <w:rPr>
          <w:lang w:eastAsia="zh-CN"/>
        </w:rPr>
        <w:t xml:space="preserve">1.1 </w:t>
      </w:r>
      <w:r>
        <w:rPr>
          <w:rFonts w:hint="eastAsia"/>
          <w:lang w:eastAsia="zh-CN"/>
        </w:rPr>
        <w:t>为使投标方所供设备安全、正常投运，投标方要派合格的现场服务人员。如果此现场服务人日数不能满足工程需要，招标方有权要求投标方增加现场服务人日数，费用由投标方承担。投标方现场服务人员的目的是使所供设备安全、正常投运。投标方派合格的现场服务人员并按现场服务计划表（见下表）派遣现场服务人员。如果此人月数不能满足工程需要，投标方追加人月数，但招标方无须为此支付任何额外费用。</w:t>
      </w:r>
    </w:p>
    <w:p>
      <w:pPr>
        <w:tabs>
          <w:tab w:val="left" w:pos="240"/>
          <w:tab w:val="left" w:pos="600"/>
          <w:tab w:val="left" w:pos="840"/>
        </w:tabs>
        <w:snapToGrid w:val="0"/>
        <w:spacing w:line="360" w:lineRule="auto"/>
        <w:jc w:val="center"/>
      </w:pPr>
      <w:r>
        <w:rPr>
          <w:rFonts w:hint="eastAsia"/>
        </w:rPr>
        <w:t>现</w:t>
      </w:r>
      <w:r>
        <w:t xml:space="preserve"> </w:t>
      </w:r>
      <w:r>
        <w:rPr>
          <w:rFonts w:hint="eastAsia"/>
        </w:rPr>
        <w:t>场</w:t>
      </w:r>
      <w:r>
        <w:t xml:space="preserve"> </w:t>
      </w:r>
      <w:r>
        <w:rPr>
          <w:rFonts w:hint="eastAsia"/>
        </w:rPr>
        <w:t>服</w:t>
      </w:r>
      <w:r>
        <w:t xml:space="preserve"> </w:t>
      </w:r>
      <w:r>
        <w:rPr>
          <w:rFonts w:hint="eastAsia"/>
        </w:rPr>
        <w:t>务</w:t>
      </w:r>
      <w:r>
        <w:t xml:space="preserve"> </w:t>
      </w:r>
      <w:r>
        <w:rPr>
          <w:rFonts w:hint="eastAsia"/>
        </w:rPr>
        <w:t>计</w:t>
      </w:r>
      <w:r>
        <w:t xml:space="preserve"> </w:t>
      </w:r>
      <w:r>
        <w:rPr>
          <w:rFonts w:hint="eastAsia"/>
        </w:rPr>
        <w:t>划</w:t>
      </w:r>
      <w:r>
        <w:t xml:space="preserve"> </w:t>
      </w:r>
      <w:r>
        <w:rPr>
          <w:rFonts w:hint="eastAsia"/>
        </w:rPr>
        <w:t>表</w:t>
      </w:r>
    </w:p>
    <w:tbl>
      <w:tblPr>
        <w:tblStyle w:val="6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848"/>
        <w:gridCol w:w="3507"/>
        <w:gridCol w:w="2735"/>
        <w:gridCol w:w="884"/>
        <w:gridCol w:w="992"/>
        <w:gridCol w:w="187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40" w:hRule="atLeast"/>
          <w:jc w:val="center"/>
        </w:trPr>
        <w:tc>
          <w:tcPr>
            <w:tcW w:w="848" w:type="dxa"/>
            <w:vMerge w:val="restart"/>
            <w:tcBorders>
              <w:top w:val="single" w:color="auto" w:sz="12" w:space="0"/>
              <w:left w:val="single" w:color="auto" w:sz="12" w:space="0"/>
              <w:bottom w:val="nil"/>
              <w:right w:val="single" w:color="auto" w:sz="6" w:space="0"/>
            </w:tcBorders>
            <w:vAlign w:val="center"/>
          </w:tcPr>
          <w:p>
            <w:pPr>
              <w:tabs>
                <w:tab w:val="left" w:pos="240"/>
                <w:tab w:val="left" w:pos="600"/>
                <w:tab w:val="left" w:pos="840"/>
              </w:tabs>
              <w:snapToGrid w:val="0"/>
              <w:spacing w:line="360" w:lineRule="auto"/>
              <w:jc w:val="center"/>
            </w:pPr>
            <w:r>
              <w:rPr>
                <w:rFonts w:hint="eastAsia"/>
              </w:rPr>
              <w:t>序号</w:t>
            </w:r>
          </w:p>
        </w:tc>
        <w:tc>
          <w:tcPr>
            <w:tcW w:w="3507" w:type="dxa"/>
            <w:vMerge w:val="restart"/>
            <w:tcBorders>
              <w:top w:val="single" w:color="auto" w:sz="12" w:space="0"/>
              <w:left w:val="nil"/>
              <w:bottom w:val="nil"/>
              <w:right w:val="single" w:color="auto" w:sz="6" w:space="0"/>
            </w:tcBorders>
            <w:vAlign w:val="center"/>
          </w:tcPr>
          <w:p>
            <w:pPr>
              <w:tabs>
                <w:tab w:val="left" w:pos="240"/>
                <w:tab w:val="left" w:pos="600"/>
                <w:tab w:val="left" w:pos="840"/>
              </w:tabs>
              <w:snapToGrid w:val="0"/>
              <w:spacing w:line="360" w:lineRule="auto"/>
              <w:jc w:val="center"/>
            </w:pPr>
            <w:r>
              <w:rPr>
                <w:rFonts w:hint="eastAsia"/>
              </w:rPr>
              <w:t>技术服务内容</w:t>
            </w:r>
          </w:p>
        </w:tc>
        <w:tc>
          <w:tcPr>
            <w:tcW w:w="2735" w:type="dxa"/>
            <w:vMerge w:val="restart"/>
            <w:tcBorders>
              <w:top w:val="single" w:color="auto" w:sz="12" w:space="0"/>
              <w:left w:val="nil"/>
              <w:bottom w:val="nil"/>
              <w:right w:val="single" w:color="auto" w:sz="6" w:space="0"/>
            </w:tcBorders>
            <w:vAlign w:val="center"/>
          </w:tcPr>
          <w:p>
            <w:pPr>
              <w:pStyle w:val="157"/>
              <w:tabs>
                <w:tab w:val="left" w:pos="240"/>
                <w:tab w:val="left" w:pos="600"/>
                <w:tab w:val="left" w:pos="840"/>
              </w:tabs>
              <w:snapToGrid w:val="0"/>
              <w:spacing w:line="360" w:lineRule="auto"/>
              <w:rPr>
                <w:rFonts w:hAnsi="宋体"/>
              </w:rPr>
            </w:pPr>
            <w:r>
              <w:rPr>
                <w:rFonts w:hint="eastAsia" w:hAnsi="宋体"/>
              </w:rPr>
              <w:t>计划人月数</w:t>
            </w:r>
          </w:p>
        </w:tc>
        <w:tc>
          <w:tcPr>
            <w:tcW w:w="1876" w:type="dxa"/>
            <w:gridSpan w:val="2"/>
            <w:tcBorders>
              <w:top w:val="single" w:color="auto" w:sz="12" w:space="0"/>
              <w:left w:val="nil"/>
              <w:bottom w:val="single" w:color="auto" w:sz="6" w:space="0"/>
              <w:right w:val="nil"/>
            </w:tcBorders>
            <w:vAlign w:val="center"/>
          </w:tcPr>
          <w:p>
            <w:pPr>
              <w:tabs>
                <w:tab w:val="left" w:pos="240"/>
                <w:tab w:val="left" w:pos="600"/>
                <w:tab w:val="left" w:pos="840"/>
              </w:tabs>
              <w:snapToGrid w:val="0"/>
              <w:spacing w:line="360" w:lineRule="auto"/>
              <w:jc w:val="center"/>
            </w:pPr>
            <w:r>
              <w:rPr>
                <w:rFonts w:hint="eastAsia"/>
              </w:rPr>
              <w:t>派出人员构成</w:t>
            </w:r>
          </w:p>
        </w:tc>
        <w:tc>
          <w:tcPr>
            <w:tcW w:w="1877" w:type="dxa"/>
            <w:vMerge w:val="restart"/>
            <w:tcBorders>
              <w:top w:val="single" w:color="auto" w:sz="12" w:space="0"/>
              <w:left w:val="single" w:color="auto" w:sz="6" w:space="0"/>
              <w:bottom w:val="nil"/>
              <w:right w:val="single" w:color="auto" w:sz="12" w:space="0"/>
            </w:tcBorders>
            <w:vAlign w:val="center"/>
          </w:tcPr>
          <w:p>
            <w:pPr>
              <w:tabs>
                <w:tab w:val="left" w:pos="240"/>
                <w:tab w:val="left" w:pos="600"/>
                <w:tab w:val="left" w:pos="840"/>
              </w:tabs>
              <w:snapToGrid w:val="0"/>
              <w:spacing w:line="360" w:lineRule="auto"/>
              <w:jc w:val="center"/>
            </w:pPr>
            <w:r>
              <w:rPr>
                <w:rFonts w:hint="eastAsia"/>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40" w:hRule="atLeast"/>
          <w:jc w:val="center"/>
        </w:trPr>
        <w:tc>
          <w:tcPr>
            <w:tcW w:w="848" w:type="dxa"/>
            <w:vMerge w:val="continue"/>
            <w:tcBorders>
              <w:top w:val="nil"/>
              <w:left w:val="single" w:color="auto" w:sz="12" w:space="0"/>
              <w:bottom w:val="single" w:color="auto" w:sz="6" w:space="0"/>
              <w:right w:val="single" w:color="auto" w:sz="6" w:space="0"/>
            </w:tcBorders>
            <w:vAlign w:val="center"/>
          </w:tcPr>
          <w:p>
            <w:pPr>
              <w:tabs>
                <w:tab w:val="left" w:pos="240"/>
                <w:tab w:val="left" w:pos="600"/>
                <w:tab w:val="left" w:pos="840"/>
              </w:tabs>
              <w:snapToGrid w:val="0"/>
              <w:spacing w:line="360" w:lineRule="auto"/>
              <w:jc w:val="center"/>
            </w:pPr>
          </w:p>
        </w:tc>
        <w:tc>
          <w:tcPr>
            <w:tcW w:w="3507" w:type="dxa"/>
            <w:vMerge w:val="continue"/>
            <w:tcBorders>
              <w:top w:val="nil"/>
              <w:left w:val="nil"/>
              <w:bottom w:val="single" w:color="auto" w:sz="6" w:space="0"/>
              <w:right w:val="single" w:color="auto" w:sz="6" w:space="0"/>
            </w:tcBorders>
            <w:vAlign w:val="center"/>
          </w:tcPr>
          <w:p>
            <w:pPr>
              <w:tabs>
                <w:tab w:val="left" w:pos="240"/>
                <w:tab w:val="left" w:pos="600"/>
                <w:tab w:val="left" w:pos="840"/>
              </w:tabs>
              <w:snapToGrid w:val="0"/>
              <w:spacing w:line="360" w:lineRule="auto"/>
              <w:jc w:val="center"/>
            </w:pPr>
          </w:p>
        </w:tc>
        <w:tc>
          <w:tcPr>
            <w:tcW w:w="2735" w:type="dxa"/>
            <w:vMerge w:val="continue"/>
            <w:tcBorders>
              <w:top w:val="nil"/>
              <w:left w:val="nil"/>
              <w:bottom w:val="single" w:color="auto" w:sz="6" w:space="0"/>
              <w:right w:val="single" w:color="auto" w:sz="6" w:space="0"/>
            </w:tcBorders>
            <w:vAlign w:val="center"/>
          </w:tcPr>
          <w:p>
            <w:pPr>
              <w:pStyle w:val="157"/>
              <w:tabs>
                <w:tab w:val="left" w:pos="240"/>
                <w:tab w:val="left" w:pos="600"/>
                <w:tab w:val="left" w:pos="840"/>
              </w:tabs>
              <w:snapToGrid w:val="0"/>
              <w:spacing w:line="360" w:lineRule="auto"/>
              <w:rPr>
                <w:rFonts w:hAnsi="宋体"/>
              </w:rPr>
            </w:pPr>
          </w:p>
        </w:tc>
        <w:tc>
          <w:tcPr>
            <w:tcW w:w="884" w:type="dxa"/>
            <w:tcBorders>
              <w:top w:val="nil"/>
              <w:left w:val="nil"/>
            </w:tcBorders>
            <w:vAlign w:val="center"/>
          </w:tcPr>
          <w:p>
            <w:pPr>
              <w:tabs>
                <w:tab w:val="left" w:pos="240"/>
                <w:tab w:val="left" w:pos="600"/>
                <w:tab w:val="left" w:pos="840"/>
              </w:tabs>
              <w:snapToGrid w:val="0"/>
              <w:spacing w:line="360" w:lineRule="auto"/>
              <w:jc w:val="center"/>
            </w:pPr>
            <w:r>
              <w:rPr>
                <w:rFonts w:hint="eastAsia"/>
              </w:rPr>
              <w:t>职称</w:t>
            </w:r>
          </w:p>
        </w:tc>
        <w:tc>
          <w:tcPr>
            <w:tcW w:w="992" w:type="dxa"/>
            <w:tcBorders>
              <w:top w:val="nil"/>
              <w:right w:val="nil"/>
            </w:tcBorders>
            <w:vAlign w:val="center"/>
          </w:tcPr>
          <w:p>
            <w:pPr>
              <w:tabs>
                <w:tab w:val="left" w:pos="240"/>
                <w:tab w:val="left" w:pos="600"/>
                <w:tab w:val="left" w:pos="840"/>
              </w:tabs>
              <w:snapToGrid w:val="0"/>
              <w:spacing w:line="360" w:lineRule="auto"/>
              <w:jc w:val="center"/>
            </w:pPr>
            <w:r>
              <w:rPr>
                <w:rFonts w:hint="eastAsia"/>
              </w:rPr>
              <w:t>人数</w:t>
            </w:r>
          </w:p>
        </w:tc>
        <w:tc>
          <w:tcPr>
            <w:tcW w:w="1877" w:type="dxa"/>
            <w:vMerge w:val="continue"/>
            <w:tcBorders>
              <w:top w:val="nil"/>
              <w:left w:val="single" w:color="auto" w:sz="6" w:space="0"/>
              <w:bottom w:val="single" w:color="auto" w:sz="6" w:space="0"/>
              <w:right w:val="single" w:color="auto" w:sz="12" w:space="0"/>
            </w:tcBorders>
            <w:vAlign w:val="center"/>
          </w:tcPr>
          <w:p>
            <w:pPr>
              <w:tabs>
                <w:tab w:val="left" w:pos="240"/>
                <w:tab w:val="left" w:pos="600"/>
                <w:tab w:val="left" w:pos="840"/>
              </w:tabs>
              <w:snapToGrid w:val="0"/>
              <w:spacing w:line="360" w:lineRule="auto"/>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40" w:hRule="atLeast"/>
          <w:jc w:val="center"/>
        </w:trPr>
        <w:tc>
          <w:tcPr>
            <w:tcW w:w="848" w:type="dxa"/>
            <w:tcBorders>
              <w:top w:val="nil"/>
              <w:left w:val="single" w:color="auto" w:sz="12" w:space="0"/>
            </w:tcBorders>
            <w:vAlign w:val="center"/>
          </w:tcPr>
          <w:p>
            <w:pPr>
              <w:snapToGrid w:val="0"/>
              <w:spacing w:line="360" w:lineRule="auto"/>
              <w:jc w:val="center"/>
            </w:pPr>
            <w:r>
              <w:rPr>
                <w:rFonts w:hint="eastAsia"/>
              </w:rPr>
              <w:t>1</w:t>
            </w:r>
          </w:p>
        </w:tc>
        <w:tc>
          <w:tcPr>
            <w:tcW w:w="3507" w:type="dxa"/>
            <w:tcBorders>
              <w:top w:val="nil"/>
            </w:tcBorders>
          </w:tcPr>
          <w:p>
            <w:pPr>
              <w:spacing w:line="360" w:lineRule="auto"/>
            </w:pPr>
            <w:r>
              <w:rPr>
                <w:rFonts w:hint="eastAsia"/>
              </w:rPr>
              <w:t>指导安装调试</w:t>
            </w:r>
          </w:p>
        </w:tc>
        <w:tc>
          <w:tcPr>
            <w:tcW w:w="2735" w:type="dxa"/>
            <w:tcBorders>
              <w:top w:val="nil"/>
            </w:tcBorders>
            <w:vAlign w:val="center"/>
          </w:tcPr>
          <w:p>
            <w:pPr>
              <w:spacing w:line="360" w:lineRule="auto"/>
              <w:jc w:val="center"/>
            </w:pPr>
          </w:p>
        </w:tc>
        <w:tc>
          <w:tcPr>
            <w:tcW w:w="884" w:type="dxa"/>
            <w:vAlign w:val="center"/>
          </w:tcPr>
          <w:p>
            <w:pPr>
              <w:spacing w:line="360" w:lineRule="auto"/>
              <w:jc w:val="center"/>
            </w:pPr>
            <w:r>
              <w:rPr>
                <w:rFonts w:hint="eastAsia"/>
              </w:rPr>
              <w:t>工程师</w:t>
            </w:r>
          </w:p>
        </w:tc>
        <w:tc>
          <w:tcPr>
            <w:tcW w:w="992" w:type="dxa"/>
            <w:vAlign w:val="center"/>
          </w:tcPr>
          <w:p>
            <w:pPr>
              <w:spacing w:line="360" w:lineRule="auto"/>
              <w:jc w:val="center"/>
            </w:pPr>
          </w:p>
        </w:tc>
        <w:tc>
          <w:tcPr>
            <w:tcW w:w="1877" w:type="dxa"/>
            <w:tcBorders>
              <w:top w:val="nil"/>
              <w:right w:val="single" w:color="auto" w:sz="12" w:space="0"/>
            </w:tcBorders>
            <w:vAlign w:val="center"/>
          </w:tcPr>
          <w:p>
            <w:pPr>
              <w:tabs>
                <w:tab w:val="left" w:pos="240"/>
                <w:tab w:val="left" w:pos="600"/>
                <w:tab w:val="left" w:pos="840"/>
              </w:tabs>
              <w:snapToGrid w:val="0"/>
              <w:spacing w:line="360" w:lineRule="auto"/>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40" w:hRule="atLeast"/>
          <w:jc w:val="center"/>
        </w:trPr>
        <w:tc>
          <w:tcPr>
            <w:tcW w:w="848" w:type="dxa"/>
            <w:tcBorders>
              <w:top w:val="nil"/>
              <w:left w:val="single" w:color="auto" w:sz="12" w:space="0"/>
            </w:tcBorders>
            <w:vAlign w:val="center"/>
          </w:tcPr>
          <w:p>
            <w:pPr>
              <w:snapToGrid w:val="0"/>
              <w:spacing w:line="360" w:lineRule="auto"/>
              <w:jc w:val="center"/>
            </w:pPr>
            <w:r>
              <w:rPr>
                <w:rFonts w:hint="eastAsia"/>
              </w:rPr>
              <w:t>2</w:t>
            </w:r>
          </w:p>
        </w:tc>
        <w:tc>
          <w:tcPr>
            <w:tcW w:w="3507" w:type="dxa"/>
            <w:tcBorders>
              <w:top w:val="nil"/>
            </w:tcBorders>
          </w:tcPr>
          <w:p>
            <w:pPr>
              <w:spacing w:line="360" w:lineRule="auto"/>
              <w:rPr>
                <w:lang w:eastAsia="zh-CN"/>
              </w:rPr>
            </w:pPr>
            <w:r>
              <w:rPr>
                <w:rFonts w:hint="eastAsia"/>
                <w:lang w:eastAsia="zh-CN"/>
              </w:rPr>
              <w:t>参加试运行和性能验收</w:t>
            </w:r>
          </w:p>
        </w:tc>
        <w:tc>
          <w:tcPr>
            <w:tcW w:w="2735" w:type="dxa"/>
            <w:tcBorders>
              <w:top w:val="nil"/>
            </w:tcBorders>
            <w:vAlign w:val="center"/>
          </w:tcPr>
          <w:p>
            <w:pPr>
              <w:spacing w:line="360" w:lineRule="auto"/>
              <w:jc w:val="center"/>
              <w:rPr>
                <w:lang w:eastAsia="zh-CN"/>
              </w:rPr>
            </w:pPr>
          </w:p>
        </w:tc>
        <w:tc>
          <w:tcPr>
            <w:tcW w:w="884" w:type="dxa"/>
            <w:vAlign w:val="center"/>
          </w:tcPr>
          <w:p>
            <w:pPr>
              <w:spacing w:line="360" w:lineRule="auto"/>
              <w:jc w:val="center"/>
            </w:pPr>
            <w:r>
              <w:rPr>
                <w:rFonts w:hint="eastAsia"/>
              </w:rPr>
              <w:t>工程师</w:t>
            </w:r>
          </w:p>
        </w:tc>
        <w:tc>
          <w:tcPr>
            <w:tcW w:w="992" w:type="dxa"/>
            <w:vAlign w:val="center"/>
          </w:tcPr>
          <w:p>
            <w:pPr>
              <w:spacing w:line="360" w:lineRule="auto"/>
              <w:jc w:val="center"/>
            </w:pPr>
          </w:p>
        </w:tc>
        <w:tc>
          <w:tcPr>
            <w:tcW w:w="1877" w:type="dxa"/>
            <w:tcBorders>
              <w:top w:val="nil"/>
              <w:right w:val="single" w:color="auto" w:sz="12" w:space="0"/>
            </w:tcBorders>
            <w:vAlign w:val="center"/>
          </w:tcPr>
          <w:p>
            <w:pPr>
              <w:tabs>
                <w:tab w:val="left" w:pos="240"/>
                <w:tab w:val="left" w:pos="600"/>
                <w:tab w:val="left" w:pos="840"/>
              </w:tabs>
              <w:snapToGrid w:val="0"/>
              <w:spacing w:line="360" w:lineRule="auto"/>
              <w:jc w:val="center"/>
            </w:pPr>
          </w:p>
        </w:tc>
      </w:tr>
    </w:tbl>
    <w:p>
      <w:pPr>
        <w:tabs>
          <w:tab w:val="left" w:pos="240"/>
          <w:tab w:val="left" w:pos="600"/>
          <w:tab w:val="left" w:pos="840"/>
        </w:tabs>
        <w:snapToGrid w:val="0"/>
        <w:spacing w:line="360" w:lineRule="auto"/>
      </w:pPr>
    </w:p>
    <w:p>
      <w:pPr>
        <w:tabs>
          <w:tab w:val="left" w:pos="240"/>
          <w:tab w:val="left" w:pos="600"/>
          <w:tab w:val="left" w:pos="840"/>
        </w:tabs>
        <w:snapToGrid w:val="0"/>
        <w:spacing w:line="360" w:lineRule="auto"/>
        <w:rPr>
          <w:lang w:eastAsia="zh-CN"/>
        </w:rPr>
      </w:pPr>
      <w:r>
        <w:rPr>
          <w:lang w:eastAsia="zh-CN"/>
        </w:rPr>
        <w:t xml:space="preserve">1.2 </w:t>
      </w:r>
      <w:r>
        <w:rPr>
          <w:rFonts w:hint="eastAsia"/>
          <w:lang w:eastAsia="zh-CN"/>
        </w:rPr>
        <w:t>投标方现场服务人员应具有下列资格：</w:t>
      </w:r>
    </w:p>
    <w:p>
      <w:pPr>
        <w:tabs>
          <w:tab w:val="left" w:pos="240"/>
          <w:tab w:val="left" w:pos="600"/>
          <w:tab w:val="left" w:pos="840"/>
        </w:tabs>
        <w:snapToGrid w:val="0"/>
        <w:spacing w:line="360" w:lineRule="auto"/>
        <w:rPr>
          <w:lang w:eastAsia="zh-CN"/>
        </w:rPr>
      </w:pPr>
      <w:r>
        <w:rPr>
          <w:lang w:eastAsia="zh-CN"/>
        </w:rPr>
        <w:t xml:space="preserve">1.2.1 </w:t>
      </w:r>
      <w:r>
        <w:rPr>
          <w:rFonts w:hint="eastAsia"/>
          <w:lang w:eastAsia="zh-CN"/>
        </w:rPr>
        <w:t>遵守法纪，遵守现场的各项规章和制度</w:t>
      </w:r>
      <w:r>
        <w:rPr>
          <w:lang w:eastAsia="zh-CN"/>
        </w:rPr>
        <w:t>；</w:t>
      </w:r>
    </w:p>
    <w:p>
      <w:pPr>
        <w:tabs>
          <w:tab w:val="left" w:pos="240"/>
          <w:tab w:val="left" w:pos="600"/>
          <w:tab w:val="left" w:pos="840"/>
        </w:tabs>
        <w:snapToGrid w:val="0"/>
        <w:spacing w:line="360" w:lineRule="auto"/>
        <w:rPr>
          <w:lang w:eastAsia="zh-CN"/>
        </w:rPr>
      </w:pPr>
      <w:r>
        <w:rPr>
          <w:lang w:eastAsia="zh-CN"/>
        </w:rPr>
        <w:t xml:space="preserve">1.2.2 </w:t>
      </w:r>
      <w:r>
        <w:rPr>
          <w:rFonts w:hint="eastAsia"/>
          <w:lang w:eastAsia="zh-CN"/>
        </w:rPr>
        <w:t>有较强的责任感和事业心，按时到位</w:t>
      </w:r>
      <w:r>
        <w:rPr>
          <w:lang w:eastAsia="zh-CN"/>
        </w:rPr>
        <w:t>；</w:t>
      </w:r>
    </w:p>
    <w:p>
      <w:pPr>
        <w:tabs>
          <w:tab w:val="left" w:pos="240"/>
          <w:tab w:val="left" w:pos="600"/>
          <w:tab w:val="left" w:pos="840"/>
        </w:tabs>
        <w:snapToGrid w:val="0"/>
        <w:spacing w:line="360" w:lineRule="auto"/>
        <w:rPr>
          <w:lang w:eastAsia="zh-CN"/>
        </w:rPr>
      </w:pPr>
      <w:r>
        <w:rPr>
          <w:lang w:eastAsia="zh-CN"/>
        </w:rPr>
        <w:t xml:space="preserve">1.2.3 </w:t>
      </w:r>
      <w:r>
        <w:rPr>
          <w:rFonts w:hint="eastAsia"/>
          <w:lang w:eastAsia="zh-CN"/>
        </w:rPr>
        <w:t>了解合同设备的设计，熟悉其结构，有相同或相近机组的现场工作经验，能够正确地进行现场指导</w:t>
      </w:r>
      <w:r>
        <w:rPr>
          <w:lang w:eastAsia="zh-CN"/>
        </w:rPr>
        <w:t>；</w:t>
      </w:r>
    </w:p>
    <w:p>
      <w:pPr>
        <w:tabs>
          <w:tab w:val="left" w:pos="240"/>
          <w:tab w:val="left" w:pos="600"/>
          <w:tab w:val="left" w:pos="840"/>
        </w:tabs>
        <w:snapToGrid w:val="0"/>
        <w:spacing w:line="360" w:lineRule="auto"/>
        <w:rPr>
          <w:lang w:eastAsia="zh-CN"/>
        </w:rPr>
      </w:pPr>
      <w:r>
        <w:rPr>
          <w:lang w:eastAsia="zh-CN"/>
        </w:rPr>
        <w:t xml:space="preserve">1.2.4 </w:t>
      </w:r>
      <w:r>
        <w:rPr>
          <w:rFonts w:hint="eastAsia"/>
          <w:lang w:eastAsia="zh-CN"/>
        </w:rPr>
        <w:t>身体健康，适应现场工作的条件。</w:t>
      </w:r>
    </w:p>
    <w:p>
      <w:pPr>
        <w:tabs>
          <w:tab w:val="left" w:pos="240"/>
          <w:tab w:val="left" w:pos="600"/>
          <w:tab w:val="left" w:pos="840"/>
        </w:tabs>
        <w:snapToGrid w:val="0"/>
        <w:spacing w:line="360" w:lineRule="auto"/>
        <w:rPr>
          <w:lang w:eastAsia="zh-CN"/>
        </w:rPr>
      </w:pPr>
      <w:r>
        <w:rPr>
          <w:lang w:eastAsia="zh-CN"/>
        </w:rPr>
        <w:t xml:space="preserve">1.2.5 </w:t>
      </w:r>
      <w:r>
        <w:rPr>
          <w:rFonts w:hint="eastAsia"/>
          <w:lang w:eastAsia="zh-CN"/>
        </w:rPr>
        <w:t>投标方须更换招标方认为不合格的投标方现场服务人员。</w:t>
      </w:r>
    </w:p>
    <w:p>
      <w:pPr>
        <w:tabs>
          <w:tab w:val="left" w:pos="240"/>
          <w:tab w:val="left" w:pos="600"/>
          <w:tab w:val="left" w:pos="840"/>
        </w:tabs>
        <w:snapToGrid w:val="0"/>
        <w:spacing w:line="360" w:lineRule="auto"/>
        <w:rPr>
          <w:lang w:eastAsia="zh-CN"/>
        </w:rPr>
      </w:pPr>
      <w:r>
        <w:rPr>
          <w:lang w:eastAsia="zh-CN"/>
        </w:rPr>
        <w:t xml:space="preserve">1.3 </w:t>
      </w:r>
      <w:r>
        <w:rPr>
          <w:rFonts w:hint="eastAsia"/>
          <w:lang w:eastAsia="zh-CN"/>
        </w:rPr>
        <w:t>投标方现场服务人员的职责</w:t>
      </w:r>
    </w:p>
    <w:p>
      <w:pPr>
        <w:tabs>
          <w:tab w:val="left" w:pos="240"/>
          <w:tab w:val="left" w:pos="600"/>
          <w:tab w:val="left" w:pos="840"/>
        </w:tabs>
        <w:snapToGrid w:val="0"/>
        <w:spacing w:line="360" w:lineRule="auto"/>
        <w:rPr>
          <w:lang w:eastAsia="zh-CN"/>
        </w:rPr>
      </w:pPr>
      <w:r>
        <w:rPr>
          <w:lang w:eastAsia="zh-CN"/>
        </w:rPr>
        <w:t xml:space="preserve">1.3.1 </w:t>
      </w:r>
      <w:r>
        <w:rPr>
          <w:rFonts w:hint="eastAsia"/>
          <w:lang w:eastAsia="zh-CN"/>
        </w:rPr>
        <w:t>投标方现场服务人员的任务主要包括设备催交、货物的开箱检验、设备质量问题的处理、指导安装和调试、参加试运和性能验收试验。</w:t>
      </w:r>
    </w:p>
    <w:p>
      <w:pPr>
        <w:tabs>
          <w:tab w:val="left" w:pos="240"/>
          <w:tab w:val="left" w:pos="600"/>
          <w:tab w:val="left" w:pos="840"/>
        </w:tabs>
        <w:snapToGrid w:val="0"/>
        <w:spacing w:line="360" w:lineRule="auto"/>
        <w:rPr>
          <w:lang w:eastAsia="zh-CN"/>
        </w:rPr>
      </w:pPr>
      <w:r>
        <w:rPr>
          <w:lang w:eastAsia="zh-CN"/>
        </w:rPr>
        <w:t xml:space="preserve">1.3.2 </w:t>
      </w:r>
      <w:r>
        <w:rPr>
          <w:rFonts w:hint="eastAsia"/>
          <w:lang w:eastAsia="zh-CN"/>
        </w:rPr>
        <w:t>在安装和调试前，投标方技术服务人员应向施工人员进行技术交底，讲解和示范将要进行的程序和方法。对重要工序（见下表），投标方技术人员要对施工情况进行确认和签证，否则不能进行下一道工序。经投标方确认和签证的工序如因投标方技术服务人员指导错误而发生问题，投标方负全部责任。</w:t>
      </w:r>
    </w:p>
    <w:p>
      <w:pPr>
        <w:pStyle w:val="157"/>
        <w:tabs>
          <w:tab w:val="left" w:pos="240"/>
          <w:tab w:val="left" w:pos="600"/>
          <w:tab w:val="left" w:pos="840"/>
        </w:tabs>
        <w:snapToGrid w:val="0"/>
        <w:spacing w:line="360" w:lineRule="auto"/>
        <w:jc w:val="both"/>
        <w:rPr>
          <w:rFonts w:hAnsi="宋体"/>
        </w:rPr>
      </w:pPr>
      <w:r>
        <w:rPr>
          <w:rFonts w:hint="eastAsia" w:hAnsi="宋体"/>
        </w:rPr>
        <w:t>投标方提供的安装、调试监督的工序表</w:t>
      </w:r>
    </w:p>
    <w:tbl>
      <w:tblPr>
        <w:tblStyle w:val="60"/>
        <w:tblW w:w="0" w:type="auto"/>
        <w:jc w:val="center"/>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Layout w:type="fixed"/>
        <w:tblCellMar>
          <w:top w:w="0" w:type="dxa"/>
          <w:left w:w="28" w:type="dxa"/>
          <w:bottom w:w="0" w:type="dxa"/>
          <w:right w:w="28" w:type="dxa"/>
        </w:tblCellMar>
      </w:tblPr>
      <w:tblGrid>
        <w:gridCol w:w="851"/>
        <w:gridCol w:w="1559"/>
        <w:gridCol w:w="4310"/>
        <w:gridCol w:w="4408"/>
      </w:tblGrid>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28" w:type="dxa"/>
            <w:bottom w:w="0" w:type="dxa"/>
            <w:right w:w="28" w:type="dxa"/>
          </w:tblCellMar>
        </w:tblPrEx>
        <w:trPr>
          <w:trHeight w:val="454" w:hRule="atLeast"/>
          <w:jc w:val="center"/>
        </w:trPr>
        <w:tc>
          <w:tcPr>
            <w:tcW w:w="851" w:type="dxa"/>
            <w:vAlign w:val="center"/>
          </w:tcPr>
          <w:p>
            <w:pPr>
              <w:tabs>
                <w:tab w:val="left" w:pos="240"/>
                <w:tab w:val="left" w:pos="600"/>
                <w:tab w:val="left" w:pos="840"/>
              </w:tabs>
              <w:snapToGrid w:val="0"/>
              <w:spacing w:line="360" w:lineRule="auto"/>
              <w:jc w:val="center"/>
            </w:pPr>
            <w:r>
              <w:rPr>
                <w:rFonts w:hint="eastAsia"/>
              </w:rPr>
              <w:t>序号</w:t>
            </w:r>
          </w:p>
        </w:tc>
        <w:tc>
          <w:tcPr>
            <w:tcW w:w="1559" w:type="dxa"/>
            <w:vAlign w:val="center"/>
          </w:tcPr>
          <w:p>
            <w:pPr>
              <w:tabs>
                <w:tab w:val="left" w:pos="240"/>
                <w:tab w:val="left" w:pos="600"/>
                <w:tab w:val="left" w:pos="840"/>
              </w:tabs>
              <w:snapToGrid w:val="0"/>
              <w:spacing w:line="360" w:lineRule="auto"/>
              <w:jc w:val="center"/>
            </w:pPr>
            <w:r>
              <w:rPr>
                <w:rFonts w:hint="eastAsia"/>
              </w:rPr>
              <w:t>工序名称</w:t>
            </w:r>
          </w:p>
        </w:tc>
        <w:tc>
          <w:tcPr>
            <w:tcW w:w="4310" w:type="dxa"/>
            <w:vAlign w:val="center"/>
          </w:tcPr>
          <w:p>
            <w:pPr>
              <w:tabs>
                <w:tab w:val="left" w:pos="240"/>
                <w:tab w:val="left" w:pos="600"/>
                <w:tab w:val="left" w:pos="840"/>
              </w:tabs>
              <w:snapToGrid w:val="0"/>
              <w:spacing w:line="360" w:lineRule="auto"/>
              <w:jc w:val="center"/>
            </w:pPr>
            <w:r>
              <w:rPr>
                <w:rFonts w:hint="eastAsia"/>
              </w:rPr>
              <w:t>工序主要内容</w:t>
            </w:r>
          </w:p>
        </w:tc>
        <w:tc>
          <w:tcPr>
            <w:tcW w:w="4408" w:type="dxa"/>
            <w:vAlign w:val="center"/>
          </w:tcPr>
          <w:p>
            <w:pPr>
              <w:tabs>
                <w:tab w:val="left" w:pos="240"/>
                <w:tab w:val="left" w:pos="600"/>
                <w:tab w:val="left" w:pos="840"/>
              </w:tabs>
              <w:snapToGrid w:val="0"/>
              <w:spacing w:line="360" w:lineRule="auto"/>
              <w:jc w:val="center"/>
            </w:pPr>
            <w:r>
              <w:rPr>
                <w:rFonts w:hint="eastAsia"/>
              </w:rPr>
              <w:t>备注</w:t>
            </w: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28" w:type="dxa"/>
            <w:bottom w:w="0" w:type="dxa"/>
            <w:right w:w="28" w:type="dxa"/>
          </w:tblCellMar>
        </w:tblPrEx>
        <w:trPr>
          <w:trHeight w:val="454" w:hRule="atLeast"/>
          <w:jc w:val="center"/>
        </w:trPr>
        <w:tc>
          <w:tcPr>
            <w:tcW w:w="851" w:type="dxa"/>
            <w:vAlign w:val="center"/>
          </w:tcPr>
          <w:p>
            <w:pPr>
              <w:snapToGrid w:val="0"/>
              <w:spacing w:line="360" w:lineRule="auto"/>
              <w:jc w:val="center"/>
            </w:pPr>
            <w:r>
              <w:rPr>
                <w:rFonts w:hint="eastAsia"/>
              </w:rPr>
              <w:t>1</w:t>
            </w:r>
          </w:p>
        </w:tc>
        <w:tc>
          <w:tcPr>
            <w:tcW w:w="1559" w:type="dxa"/>
            <w:vAlign w:val="center"/>
          </w:tcPr>
          <w:p>
            <w:pPr>
              <w:snapToGrid w:val="0"/>
              <w:spacing w:line="360" w:lineRule="auto"/>
              <w:jc w:val="both"/>
            </w:pPr>
            <w:r>
              <w:rPr>
                <w:rFonts w:hint="eastAsia"/>
              </w:rPr>
              <w:t>设备验收</w:t>
            </w:r>
          </w:p>
        </w:tc>
        <w:tc>
          <w:tcPr>
            <w:tcW w:w="4310" w:type="dxa"/>
            <w:vAlign w:val="center"/>
          </w:tcPr>
          <w:p>
            <w:pPr>
              <w:snapToGrid w:val="0"/>
              <w:spacing w:line="360" w:lineRule="auto"/>
              <w:jc w:val="both"/>
              <w:rPr>
                <w:lang w:eastAsia="zh-CN"/>
              </w:rPr>
            </w:pPr>
            <w:r>
              <w:rPr>
                <w:rFonts w:hint="eastAsia"/>
                <w:lang w:eastAsia="zh-CN"/>
              </w:rPr>
              <w:t>设备到现场后初步验收、清单数量</w:t>
            </w:r>
          </w:p>
        </w:tc>
        <w:tc>
          <w:tcPr>
            <w:tcW w:w="4408" w:type="dxa"/>
            <w:vAlign w:val="center"/>
          </w:tcPr>
          <w:p>
            <w:pPr>
              <w:tabs>
                <w:tab w:val="left" w:pos="240"/>
                <w:tab w:val="left" w:pos="600"/>
                <w:tab w:val="left" w:pos="840"/>
              </w:tabs>
              <w:snapToGrid w:val="0"/>
              <w:spacing w:line="360" w:lineRule="auto"/>
              <w:jc w:val="both"/>
              <w:rPr>
                <w:lang w:eastAsia="zh-CN"/>
              </w:rPr>
            </w:pP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28" w:type="dxa"/>
            <w:bottom w:w="0" w:type="dxa"/>
            <w:right w:w="28" w:type="dxa"/>
          </w:tblCellMar>
        </w:tblPrEx>
        <w:trPr>
          <w:trHeight w:val="454" w:hRule="atLeast"/>
          <w:jc w:val="center"/>
        </w:trPr>
        <w:tc>
          <w:tcPr>
            <w:tcW w:w="851" w:type="dxa"/>
            <w:vAlign w:val="center"/>
          </w:tcPr>
          <w:p>
            <w:pPr>
              <w:snapToGrid w:val="0"/>
              <w:spacing w:line="360" w:lineRule="auto"/>
              <w:jc w:val="center"/>
            </w:pPr>
            <w:r>
              <w:rPr>
                <w:rFonts w:hint="eastAsia"/>
              </w:rPr>
              <w:t>2</w:t>
            </w:r>
          </w:p>
        </w:tc>
        <w:tc>
          <w:tcPr>
            <w:tcW w:w="1559" w:type="dxa"/>
            <w:vAlign w:val="center"/>
          </w:tcPr>
          <w:p>
            <w:pPr>
              <w:snapToGrid w:val="0"/>
              <w:spacing w:line="360" w:lineRule="auto"/>
              <w:jc w:val="both"/>
            </w:pPr>
            <w:r>
              <w:rPr>
                <w:rFonts w:hint="eastAsia"/>
              </w:rPr>
              <w:t>设备安装指导</w:t>
            </w:r>
          </w:p>
        </w:tc>
        <w:tc>
          <w:tcPr>
            <w:tcW w:w="4310" w:type="dxa"/>
            <w:vAlign w:val="center"/>
          </w:tcPr>
          <w:p>
            <w:pPr>
              <w:snapToGrid w:val="0"/>
              <w:spacing w:line="360" w:lineRule="auto"/>
              <w:jc w:val="both"/>
            </w:pPr>
            <w:r>
              <w:rPr>
                <w:rFonts w:hint="eastAsia"/>
              </w:rPr>
              <w:t>指导设备的安装</w:t>
            </w:r>
          </w:p>
        </w:tc>
        <w:tc>
          <w:tcPr>
            <w:tcW w:w="4408" w:type="dxa"/>
            <w:vAlign w:val="center"/>
          </w:tcPr>
          <w:p>
            <w:pPr>
              <w:tabs>
                <w:tab w:val="left" w:pos="240"/>
                <w:tab w:val="left" w:pos="600"/>
                <w:tab w:val="left" w:pos="840"/>
              </w:tabs>
              <w:snapToGrid w:val="0"/>
              <w:spacing w:line="360" w:lineRule="auto"/>
              <w:jc w:val="both"/>
            </w:pP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28" w:type="dxa"/>
            <w:bottom w:w="0" w:type="dxa"/>
            <w:right w:w="28" w:type="dxa"/>
          </w:tblCellMar>
        </w:tblPrEx>
        <w:trPr>
          <w:trHeight w:val="454" w:hRule="atLeast"/>
          <w:jc w:val="center"/>
        </w:trPr>
        <w:tc>
          <w:tcPr>
            <w:tcW w:w="851" w:type="dxa"/>
            <w:vAlign w:val="center"/>
          </w:tcPr>
          <w:p>
            <w:pPr>
              <w:snapToGrid w:val="0"/>
              <w:spacing w:line="360" w:lineRule="auto"/>
              <w:jc w:val="center"/>
            </w:pPr>
            <w:r>
              <w:rPr>
                <w:rFonts w:hint="eastAsia"/>
              </w:rPr>
              <w:t>3</w:t>
            </w:r>
          </w:p>
        </w:tc>
        <w:tc>
          <w:tcPr>
            <w:tcW w:w="1559" w:type="dxa"/>
            <w:vAlign w:val="center"/>
          </w:tcPr>
          <w:p>
            <w:pPr>
              <w:snapToGrid w:val="0"/>
              <w:spacing w:line="360" w:lineRule="auto"/>
              <w:jc w:val="both"/>
            </w:pPr>
            <w:r>
              <w:rPr>
                <w:rFonts w:hint="eastAsia"/>
              </w:rPr>
              <w:t>设备调试</w:t>
            </w:r>
          </w:p>
        </w:tc>
        <w:tc>
          <w:tcPr>
            <w:tcW w:w="4310" w:type="dxa"/>
            <w:vAlign w:val="center"/>
          </w:tcPr>
          <w:p>
            <w:pPr>
              <w:snapToGrid w:val="0"/>
              <w:spacing w:line="360" w:lineRule="auto"/>
              <w:jc w:val="both"/>
              <w:rPr>
                <w:lang w:eastAsia="zh-CN"/>
              </w:rPr>
            </w:pPr>
            <w:r>
              <w:rPr>
                <w:rFonts w:hint="eastAsia"/>
                <w:lang w:eastAsia="zh-CN"/>
              </w:rPr>
              <w:t>设备试车前准备工作及试运行</w:t>
            </w:r>
          </w:p>
        </w:tc>
        <w:tc>
          <w:tcPr>
            <w:tcW w:w="4408" w:type="dxa"/>
            <w:vAlign w:val="center"/>
          </w:tcPr>
          <w:p>
            <w:pPr>
              <w:tabs>
                <w:tab w:val="left" w:pos="240"/>
                <w:tab w:val="left" w:pos="600"/>
                <w:tab w:val="left" w:pos="840"/>
              </w:tabs>
              <w:snapToGrid w:val="0"/>
              <w:spacing w:line="360" w:lineRule="auto"/>
              <w:jc w:val="both"/>
              <w:rPr>
                <w:lang w:eastAsia="zh-CN"/>
              </w:rPr>
            </w:pPr>
          </w:p>
        </w:tc>
      </w:tr>
    </w:tbl>
    <w:p>
      <w:pPr>
        <w:tabs>
          <w:tab w:val="left" w:pos="240"/>
          <w:tab w:val="left" w:pos="600"/>
          <w:tab w:val="left" w:pos="840"/>
        </w:tabs>
        <w:snapToGrid w:val="0"/>
        <w:spacing w:line="360" w:lineRule="auto"/>
        <w:rPr>
          <w:lang w:eastAsia="zh-CN"/>
        </w:rPr>
      </w:pPr>
      <w:r>
        <w:rPr>
          <w:lang w:eastAsia="zh-CN"/>
        </w:rPr>
        <w:t xml:space="preserve">1.3.3 </w:t>
      </w:r>
      <w:r>
        <w:rPr>
          <w:rFonts w:hint="eastAsia"/>
          <w:lang w:eastAsia="zh-CN"/>
        </w:rPr>
        <w:t>投标方现场服务人员应有权全权处理现场出现的一切技术和商务问题。如现场发生质量问题，投标方现场人员要在招标方规定的时间内处理解决。如投标方委托招标方进行处理，投标方现场服务人员要出委托书并承担相应的经济责任。</w:t>
      </w:r>
    </w:p>
    <w:p>
      <w:pPr>
        <w:tabs>
          <w:tab w:val="left" w:pos="240"/>
          <w:tab w:val="left" w:pos="600"/>
          <w:tab w:val="left" w:pos="840"/>
        </w:tabs>
        <w:snapToGrid w:val="0"/>
        <w:spacing w:line="360" w:lineRule="auto"/>
        <w:rPr>
          <w:lang w:eastAsia="zh-CN"/>
        </w:rPr>
      </w:pPr>
      <w:r>
        <w:rPr>
          <w:lang w:eastAsia="zh-CN"/>
        </w:rPr>
        <w:t xml:space="preserve">1.3.4 </w:t>
      </w:r>
      <w:r>
        <w:rPr>
          <w:rFonts w:hint="eastAsia"/>
          <w:lang w:eastAsia="zh-CN"/>
        </w:rPr>
        <w:t>投标方对其现场服务人员的一切行为负全部责任。</w:t>
      </w:r>
    </w:p>
    <w:p>
      <w:pPr>
        <w:tabs>
          <w:tab w:val="left" w:pos="240"/>
          <w:tab w:val="left" w:pos="600"/>
          <w:tab w:val="left" w:pos="840"/>
        </w:tabs>
        <w:snapToGrid w:val="0"/>
        <w:spacing w:line="360" w:lineRule="auto"/>
        <w:rPr>
          <w:lang w:eastAsia="zh-CN"/>
        </w:rPr>
      </w:pPr>
      <w:r>
        <w:rPr>
          <w:lang w:eastAsia="zh-CN"/>
        </w:rPr>
        <w:t xml:space="preserve">1.3.5 </w:t>
      </w:r>
      <w:r>
        <w:rPr>
          <w:rFonts w:hint="eastAsia"/>
          <w:lang w:eastAsia="zh-CN"/>
        </w:rPr>
        <w:t>投标方现场服务人员的正常来去和更换应事先与招标方协商。</w:t>
      </w:r>
    </w:p>
    <w:p>
      <w:pPr>
        <w:tabs>
          <w:tab w:val="left" w:pos="240"/>
          <w:tab w:val="left" w:pos="600"/>
          <w:tab w:val="left" w:pos="840"/>
        </w:tabs>
        <w:snapToGrid w:val="0"/>
        <w:spacing w:line="360" w:lineRule="auto"/>
        <w:rPr>
          <w:lang w:eastAsia="zh-CN"/>
        </w:rPr>
      </w:pPr>
      <w:r>
        <w:rPr>
          <w:lang w:eastAsia="zh-CN"/>
        </w:rPr>
        <w:t xml:space="preserve">1.4 </w:t>
      </w:r>
      <w:r>
        <w:rPr>
          <w:rFonts w:hint="eastAsia"/>
          <w:lang w:eastAsia="zh-CN"/>
        </w:rPr>
        <w:t>招标方的义务</w:t>
      </w:r>
    </w:p>
    <w:p>
      <w:pPr>
        <w:tabs>
          <w:tab w:val="left" w:pos="600"/>
          <w:tab w:val="left" w:pos="840"/>
        </w:tabs>
        <w:snapToGrid w:val="0"/>
        <w:spacing w:line="360" w:lineRule="auto"/>
        <w:ind w:firstLine="480"/>
        <w:rPr>
          <w:lang w:eastAsia="zh-CN"/>
        </w:rPr>
      </w:pPr>
      <w:r>
        <w:rPr>
          <w:rFonts w:hint="eastAsia"/>
          <w:lang w:eastAsia="zh-CN"/>
        </w:rPr>
        <w:t>招标方要配合投标方现场服务人员的工作，并在生活、交通和通讯上提供标方便，发生费用由投标方自理。</w:t>
      </w:r>
    </w:p>
    <w:p>
      <w:pPr>
        <w:snapToGrid w:val="0"/>
        <w:spacing w:line="360" w:lineRule="auto"/>
        <w:rPr>
          <w:lang w:eastAsia="zh-CN"/>
        </w:rPr>
      </w:pPr>
      <w:r>
        <w:rPr>
          <w:lang w:eastAsia="zh-CN"/>
        </w:rPr>
        <w:t xml:space="preserve">2 </w:t>
      </w:r>
      <w:r>
        <w:rPr>
          <w:rFonts w:hint="eastAsia"/>
          <w:lang w:eastAsia="zh-CN"/>
        </w:rPr>
        <w:t>培训</w:t>
      </w:r>
    </w:p>
    <w:p>
      <w:pPr>
        <w:tabs>
          <w:tab w:val="left" w:pos="240"/>
          <w:tab w:val="left" w:pos="600"/>
          <w:tab w:val="left" w:pos="840"/>
        </w:tabs>
        <w:snapToGrid w:val="0"/>
        <w:spacing w:line="360" w:lineRule="auto"/>
        <w:rPr>
          <w:lang w:eastAsia="zh-CN"/>
        </w:rPr>
      </w:pPr>
      <w:r>
        <w:rPr>
          <w:lang w:eastAsia="zh-CN"/>
        </w:rPr>
        <w:t xml:space="preserve">2.1 </w:t>
      </w:r>
      <w:r>
        <w:rPr>
          <w:rFonts w:hint="eastAsia"/>
          <w:lang w:eastAsia="zh-CN"/>
        </w:rPr>
        <w:t>为使合同设备能正常安装、调试、运行、维护及检修，投标方有责任提供相应的技术培训。培训内容应与工程进度相一致。</w:t>
      </w:r>
    </w:p>
    <w:p>
      <w:pPr>
        <w:tabs>
          <w:tab w:val="left" w:pos="240"/>
          <w:tab w:val="left" w:pos="600"/>
          <w:tab w:val="left" w:pos="840"/>
        </w:tabs>
        <w:snapToGrid w:val="0"/>
        <w:spacing w:line="360" w:lineRule="auto"/>
      </w:pPr>
      <w:r>
        <w:t xml:space="preserve">2.2 </w:t>
      </w:r>
      <w:r>
        <w:rPr>
          <w:rFonts w:hint="eastAsia"/>
        </w:rPr>
        <w:t>培训计划和内容。</w:t>
      </w:r>
    </w:p>
    <w:tbl>
      <w:tblPr>
        <w:tblStyle w:val="60"/>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85"/>
        <w:gridCol w:w="1994"/>
        <w:gridCol w:w="2303"/>
        <w:gridCol w:w="1858"/>
        <w:gridCol w:w="1665"/>
        <w:gridCol w:w="1335"/>
        <w:gridCol w:w="108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9" w:hRule="atLeast"/>
          <w:jc w:val="center"/>
        </w:trPr>
        <w:tc>
          <w:tcPr>
            <w:tcW w:w="885" w:type="dxa"/>
            <w:vMerge w:val="restart"/>
            <w:vAlign w:val="center"/>
          </w:tcPr>
          <w:p>
            <w:pPr>
              <w:spacing w:line="360" w:lineRule="auto"/>
              <w:jc w:val="center"/>
              <w:rPr>
                <w:rFonts w:cs="Arial"/>
                <w:szCs w:val="24"/>
              </w:rPr>
            </w:pPr>
            <w:r>
              <w:rPr>
                <w:rFonts w:cs="Arial"/>
                <w:szCs w:val="24"/>
              </w:rPr>
              <w:t>序号</w:t>
            </w:r>
          </w:p>
        </w:tc>
        <w:tc>
          <w:tcPr>
            <w:tcW w:w="1994" w:type="dxa"/>
            <w:vMerge w:val="restart"/>
            <w:vAlign w:val="center"/>
          </w:tcPr>
          <w:p>
            <w:pPr>
              <w:spacing w:line="360" w:lineRule="auto"/>
              <w:jc w:val="center"/>
              <w:rPr>
                <w:rFonts w:cs="Arial"/>
                <w:szCs w:val="24"/>
              </w:rPr>
            </w:pPr>
            <w:r>
              <w:rPr>
                <w:rFonts w:cs="Arial"/>
                <w:szCs w:val="24"/>
              </w:rPr>
              <w:t>培训内容</w:t>
            </w:r>
          </w:p>
        </w:tc>
        <w:tc>
          <w:tcPr>
            <w:tcW w:w="2303" w:type="dxa"/>
            <w:vMerge w:val="restart"/>
            <w:vAlign w:val="center"/>
          </w:tcPr>
          <w:p>
            <w:pPr>
              <w:spacing w:line="360" w:lineRule="auto"/>
              <w:jc w:val="center"/>
              <w:rPr>
                <w:rFonts w:cs="Arial"/>
                <w:szCs w:val="24"/>
              </w:rPr>
            </w:pPr>
            <w:r>
              <w:rPr>
                <w:rFonts w:cs="Arial"/>
                <w:szCs w:val="24"/>
              </w:rPr>
              <w:t>计划人日数</w:t>
            </w:r>
          </w:p>
        </w:tc>
        <w:tc>
          <w:tcPr>
            <w:tcW w:w="3523" w:type="dxa"/>
            <w:gridSpan w:val="2"/>
            <w:vAlign w:val="center"/>
          </w:tcPr>
          <w:p>
            <w:pPr>
              <w:spacing w:line="360" w:lineRule="auto"/>
              <w:jc w:val="center"/>
              <w:rPr>
                <w:rFonts w:cs="Arial"/>
                <w:szCs w:val="24"/>
              </w:rPr>
            </w:pPr>
            <w:r>
              <w:rPr>
                <w:rFonts w:cs="Arial"/>
                <w:szCs w:val="24"/>
              </w:rPr>
              <w:t>培训教师构成</w:t>
            </w:r>
          </w:p>
        </w:tc>
        <w:tc>
          <w:tcPr>
            <w:tcW w:w="1335" w:type="dxa"/>
            <w:vMerge w:val="restart"/>
            <w:vAlign w:val="center"/>
          </w:tcPr>
          <w:p>
            <w:pPr>
              <w:spacing w:line="360" w:lineRule="auto"/>
              <w:jc w:val="center"/>
              <w:rPr>
                <w:rFonts w:cs="Arial"/>
                <w:szCs w:val="24"/>
              </w:rPr>
            </w:pPr>
            <w:r>
              <w:rPr>
                <w:rFonts w:cs="Arial"/>
                <w:szCs w:val="24"/>
              </w:rPr>
              <w:t>地点</w:t>
            </w:r>
          </w:p>
        </w:tc>
        <w:tc>
          <w:tcPr>
            <w:tcW w:w="1084" w:type="dxa"/>
            <w:vMerge w:val="restart"/>
            <w:vAlign w:val="center"/>
          </w:tcPr>
          <w:p>
            <w:pPr>
              <w:spacing w:line="360" w:lineRule="auto"/>
              <w:jc w:val="center"/>
              <w:rPr>
                <w:rFonts w:cs="Arial"/>
                <w:szCs w:val="24"/>
              </w:rPr>
            </w:pPr>
            <w:r>
              <w:rPr>
                <w:rFonts w:cs="Arial"/>
                <w:szCs w:val="24"/>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3" w:hRule="atLeast"/>
          <w:jc w:val="center"/>
        </w:trPr>
        <w:tc>
          <w:tcPr>
            <w:tcW w:w="885" w:type="dxa"/>
            <w:vMerge w:val="continue"/>
            <w:vAlign w:val="center"/>
          </w:tcPr>
          <w:p>
            <w:pPr>
              <w:spacing w:line="360" w:lineRule="auto"/>
              <w:jc w:val="center"/>
              <w:rPr>
                <w:rFonts w:cs="Arial"/>
                <w:szCs w:val="24"/>
              </w:rPr>
            </w:pPr>
          </w:p>
        </w:tc>
        <w:tc>
          <w:tcPr>
            <w:tcW w:w="1994" w:type="dxa"/>
            <w:vMerge w:val="continue"/>
            <w:vAlign w:val="center"/>
          </w:tcPr>
          <w:p>
            <w:pPr>
              <w:spacing w:line="360" w:lineRule="auto"/>
              <w:jc w:val="center"/>
              <w:rPr>
                <w:rFonts w:cs="Arial"/>
                <w:szCs w:val="24"/>
              </w:rPr>
            </w:pPr>
          </w:p>
        </w:tc>
        <w:tc>
          <w:tcPr>
            <w:tcW w:w="2303" w:type="dxa"/>
            <w:vMerge w:val="continue"/>
            <w:vAlign w:val="center"/>
          </w:tcPr>
          <w:p>
            <w:pPr>
              <w:spacing w:line="360" w:lineRule="auto"/>
              <w:jc w:val="center"/>
              <w:rPr>
                <w:rFonts w:cs="Arial"/>
                <w:szCs w:val="24"/>
              </w:rPr>
            </w:pPr>
          </w:p>
        </w:tc>
        <w:tc>
          <w:tcPr>
            <w:tcW w:w="1858" w:type="dxa"/>
            <w:vAlign w:val="center"/>
          </w:tcPr>
          <w:p>
            <w:pPr>
              <w:spacing w:line="360" w:lineRule="auto"/>
              <w:jc w:val="center"/>
              <w:rPr>
                <w:rFonts w:cs="Arial"/>
                <w:szCs w:val="24"/>
              </w:rPr>
            </w:pPr>
            <w:r>
              <w:rPr>
                <w:rFonts w:cs="Arial"/>
                <w:szCs w:val="24"/>
              </w:rPr>
              <w:t>职称</w:t>
            </w:r>
          </w:p>
        </w:tc>
        <w:tc>
          <w:tcPr>
            <w:tcW w:w="1665" w:type="dxa"/>
            <w:vAlign w:val="center"/>
          </w:tcPr>
          <w:p>
            <w:pPr>
              <w:spacing w:line="360" w:lineRule="auto"/>
              <w:jc w:val="center"/>
              <w:rPr>
                <w:rFonts w:cs="Arial"/>
                <w:szCs w:val="24"/>
              </w:rPr>
            </w:pPr>
            <w:r>
              <w:rPr>
                <w:rFonts w:cs="Arial"/>
                <w:szCs w:val="24"/>
              </w:rPr>
              <w:t>人数</w:t>
            </w:r>
          </w:p>
        </w:tc>
        <w:tc>
          <w:tcPr>
            <w:tcW w:w="1335" w:type="dxa"/>
            <w:vMerge w:val="continue"/>
            <w:vAlign w:val="center"/>
          </w:tcPr>
          <w:p>
            <w:pPr>
              <w:spacing w:line="360" w:lineRule="auto"/>
              <w:jc w:val="center"/>
              <w:rPr>
                <w:rFonts w:cs="Arial"/>
                <w:szCs w:val="24"/>
              </w:rPr>
            </w:pPr>
          </w:p>
        </w:tc>
        <w:tc>
          <w:tcPr>
            <w:tcW w:w="1084" w:type="dxa"/>
            <w:vMerge w:val="continue"/>
            <w:vAlign w:val="center"/>
          </w:tcPr>
          <w:p>
            <w:pPr>
              <w:spacing w:line="360" w:lineRule="auto"/>
              <w:jc w:val="center"/>
              <w:rPr>
                <w:rFonts w:cs="Arial"/>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0" w:hRule="atLeast"/>
          <w:jc w:val="center"/>
        </w:trPr>
        <w:tc>
          <w:tcPr>
            <w:tcW w:w="885" w:type="dxa"/>
            <w:vAlign w:val="center"/>
          </w:tcPr>
          <w:p>
            <w:pPr>
              <w:spacing w:line="360" w:lineRule="auto"/>
              <w:jc w:val="center"/>
              <w:rPr>
                <w:rFonts w:cs="Arial"/>
                <w:szCs w:val="24"/>
              </w:rPr>
            </w:pPr>
            <w:r>
              <w:rPr>
                <w:rFonts w:cs="Arial"/>
                <w:szCs w:val="24"/>
              </w:rPr>
              <w:t>1</w:t>
            </w:r>
          </w:p>
        </w:tc>
        <w:tc>
          <w:tcPr>
            <w:tcW w:w="1994" w:type="dxa"/>
            <w:vAlign w:val="center"/>
          </w:tcPr>
          <w:p>
            <w:pPr>
              <w:tabs>
                <w:tab w:val="left" w:pos="567"/>
                <w:tab w:val="left" w:pos="1418"/>
              </w:tabs>
              <w:spacing w:line="360" w:lineRule="auto"/>
              <w:jc w:val="center"/>
              <w:rPr>
                <w:rFonts w:cs="Arial"/>
                <w:szCs w:val="24"/>
              </w:rPr>
            </w:pPr>
            <w:r>
              <w:rPr>
                <w:rFonts w:cs="Arial"/>
                <w:szCs w:val="24"/>
              </w:rPr>
              <w:t>安装调试</w:t>
            </w:r>
          </w:p>
        </w:tc>
        <w:tc>
          <w:tcPr>
            <w:tcW w:w="2303" w:type="dxa"/>
            <w:vAlign w:val="center"/>
          </w:tcPr>
          <w:p>
            <w:pPr>
              <w:spacing w:line="360" w:lineRule="auto"/>
              <w:jc w:val="center"/>
              <w:rPr>
                <w:rFonts w:cs="Arial"/>
                <w:szCs w:val="24"/>
              </w:rPr>
            </w:pPr>
          </w:p>
        </w:tc>
        <w:tc>
          <w:tcPr>
            <w:tcW w:w="1858" w:type="dxa"/>
            <w:vAlign w:val="center"/>
          </w:tcPr>
          <w:p>
            <w:pPr>
              <w:tabs>
                <w:tab w:val="left" w:pos="567"/>
                <w:tab w:val="left" w:pos="1418"/>
              </w:tabs>
              <w:spacing w:line="360" w:lineRule="auto"/>
              <w:jc w:val="center"/>
              <w:rPr>
                <w:rFonts w:cs="Arial"/>
                <w:szCs w:val="24"/>
              </w:rPr>
            </w:pPr>
            <w:r>
              <w:rPr>
                <w:rFonts w:cs="Arial"/>
                <w:szCs w:val="24"/>
              </w:rPr>
              <w:t>专工</w:t>
            </w:r>
          </w:p>
        </w:tc>
        <w:tc>
          <w:tcPr>
            <w:tcW w:w="1665" w:type="dxa"/>
            <w:vAlign w:val="center"/>
          </w:tcPr>
          <w:p>
            <w:pPr>
              <w:tabs>
                <w:tab w:val="left" w:pos="567"/>
                <w:tab w:val="left" w:pos="1418"/>
              </w:tabs>
              <w:spacing w:line="360" w:lineRule="auto"/>
              <w:jc w:val="center"/>
              <w:rPr>
                <w:rFonts w:cs="Arial"/>
                <w:szCs w:val="24"/>
              </w:rPr>
            </w:pPr>
          </w:p>
        </w:tc>
        <w:tc>
          <w:tcPr>
            <w:tcW w:w="1335" w:type="dxa"/>
            <w:vAlign w:val="center"/>
          </w:tcPr>
          <w:p>
            <w:pPr>
              <w:tabs>
                <w:tab w:val="left" w:pos="567"/>
                <w:tab w:val="left" w:pos="1418"/>
              </w:tabs>
              <w:spacing w:line="360" w:lineRule="auto"/>
              <w:jc w:val="center"/>
              <w:rPr>
                <w:rFonts w:cs="Arial"/>
                <w:szCs w:val="24"/>
              </w:rPr>
            </w:pPr>
            <w:r>
              <w:rPr>
                <w:rFonts w:cs="Arial"/>
                <w:szCs w:val="24"/>
              </w:rPr>
              <w:t>现场</w:t>
            </w:r>
          </w:p>
        </w:tc>
        <w:tc>
          <w:tcPr>
            <w:tcW w:w="1084" w:type="dxa"/>
            <w:vAlign w:val="center"/>
          </w:tcPr>
          <w:p>
            <w:pPr>
              <w:spacing w:line="360" w:lineRule="auto"/>
              <w:jc w:val="center"/>
              <w:rPr>
                <w:rFonts w:cs="Arial"/>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0" w:hRule="atLeast"/>
          <w:jc w:val="center"/>
        </w:trPr>
        <w:tc>
          <w:tcPr>
            <w:tcW w:w="885" w:type="dxa"/>
            <w:vAlign w:val="center"/>
          </w:tcPr>
          <w:p>
            <w:pPr>
              <w:spacing w:line="360" w:lineRule="auto"/>
              <w:jc w:val="center"/>
              <w:rPr>
                <w:rFonts w:cs="Arial"/>
                <w:szCs w:val="24"/>
              </w:rPr>
            </w:pPr>
            <w:r>
              <w:rPr>
                <w:rFonts w:cs="Arial"/>
                <w:szCs w:val="24"/>
              </w:rPr>
              <w:t>2</w:t>
            </w:r>
          </w:p>
        </w:tc>
        <w:tc>
          <w:tcPr>
            <w:tcW w:w="1994" w:type="dxa"/>
            <w:vAlign w:val="center"/>
          </w:tcPr>
          <w:p>
            <w:pPr>
              <w:tabs>
                <w:tab w:val="left" w:pos="567"/>
                <w:tab w:val="left" w:pos="1418"/>
              </w:tabs>
              <w:spacing w:line="360" w:lineRule="auto"/>
              <w:jc w:val="center"/>
              <w:rPr>
                <w:rFonts w:cs="Arial"/>
                <w:szCs w:val="24"/>
              </w:rPr>
            </w:pPr>
            <w:r>
              <w:rPr>
                <w:rFonts w:cs="Arial"/>
                <w:szCs w:val="24"/>
              </w:rPr>
              <w:t>维护、检修</w:t>
            </w:r>
          </w:p>
        </w:tc>
        <w:tc>
          <w:tcPr>
            <w:tcW w:w="2303" w:type="dxa"/>
            <w:vAlign w:val="center"/>
          </w:tcPr>
          <w:p>
            <w:pPr>
              <w:pStyle w:val="175"/>
              <w:spacing w:line="360" w:lineRule="auto"/>
              <w:ind w:left="5500"/>
              <w:rPr>
                <w:rFonts w:ascii="宋体" w:hAnsi="宋体" w:cs="Arial"/>
                <w:szCs w:val="24"/>
              </w:rPr>
            </w:pPr>
          </w:p>
        </w:tc>
        <w:tc>
          <w:tcPr>
            <w:tcW w:w="1858" w:type="dxa"/>
            <w:vAlign w:val="center"/>
          </w:tcPr>
          <w:p>
            <w:pPr>
              <w:tabs>
                <w:tab w:val="left" w:pos="567"/>
                <w:tab w:val="left" w:pos="1418"/>
              </w:tabs>
              <w:spacing w:line="360" w:lineRule="auto"/>
              <w:jc w:val="center"/>
              <w:rPr>
                <w:rFonts w:cs="Arial"/>
                <w:szCs w:val="24"/>
              </w:rPr>
            </w:pPr>
            <w:r>
              <w:rPr>
                <w:rFonts w:cs="Arial"/>
                <w:szCs w:val="24"/>
              </w:rPr>
              <w:t>专工</w:t>
            </w:r>
          </w:p>
        </w:tc>
        <w:tc>
          <w:tcPr>
            <w:tcW w:w="1665" w:type="dxa"/>
            <w:vAlign w:val="center"/>
          </w:tcPr>
          <w:p>
            <w:pPr>
              <w:tabs>
                <w:tab w:val="left" w:pos="567"/>
                <w:tab w:val="left" w:pos="1418"/>
              </w:tabs>
              <w:spacing w:line="360" w:lineRule="auto"/>
              <w:jc w:val="center"/>
              <w:rPr>
                <w:rFonts w:cs="Arial"/>
                <w:szCs w:val="24"/>
              </w:rPr>
            </w:pPr>
          </w:p>
        </w:tc>
        <w:tc>
          <w:tcPr>
            <w:tcW w:w="1335" w:type="dxa"/>
            <w:vAlign w:val="center"/>
          </w:tcPr>
          <w:p>
            <w:pPr>
              <w:tabs>
                <w:tab w:val="left" w:pos="567"/>
                <w:tab w:val="left" w:pos="1418"/>
              </w:tabs>
              <w:spacing w:line="360" w:lineRule="auto"/>
              <w:jc w:val="center"/>
              <w:rPr>
                <w:rFonts w:cs="Arial"/>
                <w:szCs w:val="24"/>
              </w:rPr>
            </w:pPr>
            <w:r>
              <w:rPr>
                <w:rFonts w:cs="Arial"/>
                <w:szCs w:val="24"/>
              </w:rPr>
              <w:t>现场</w:t>
            </w:r>
          </w:p>
        </w:tc>
        <w:tc>
          <w:tcPr>
            <w:tcW w:w="1084" w:type="dxa"/>
            <w:vAlign w:val="center"/>
          </w:tcPr>
          <w:p>
            <w:pPr>
              <w:spacing w:line="360" w:lineRule="auto"/>
              <w:jc w:val="center"/>
              <w:rPr>
                <w:rFonts w:cs="Arial"/>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0" w:hRule="atLeast"/>
          <w:jc w:val="center"/>
        </w:trPr>
        <w:tc>
          <w:tcPr>
            <w:tcW w:w="885" w:type="dxa"/>
            <w:vAlign w:val="center"/>
          </w:tcPr>
          <w:p>
            <w:pPr>
              <w:spacing w:line="360" w:lineRule="auto"/>
              <w:jc w:val="center"/>
              <w:rPr>
                <w:rFonts w:cs="Arial"/>
                <w:szCs w:val="24"/>
              </w:rPr>
            </w:pPr>
            <w:r>
              <w:rPr>
                <w:rFonts w:cs="Arial"/>
                <w:szCs w:val="24"/>
              </w:rPr>
              <w:t>3</w:t>
            </w:r>
          </w:p>
        </w:tc>
        <w:tc>
          <w:tcPr>
            <w:tcW w:w="1994" w:type="dxa"/>
            <w:vAlign w:val="center"/>
          </w:tcPr>
          <w:p>
            <w:pPr>
              <w:tabs>
                <w:tab w:val="left" w:pos="567"/>
                <w:tab w:val="left" w:pos="1418"/>
              </w:tabs>
              <w:spacing w:line="360" w:lineRule="auto"/>
              <w:jc w:val="center"/>
              <w:rPr>
                <w:rFonts w:cs="Arial"/>
                <w:szCs w:val="24"/>
              </w:rPr>
            </w:pPr>
            <w:r>
              <w:rPr>
                <w:rFonts w:cs="Arial"/>
                <w:szCs w:val="24"/>
              </w:rPr>
              <w:t>操作指导</w:t>
            </w:r>
          </w:p>
        </w:tc>
        <w:tc>
          <w:tcPr>
            <w:tcW w:w="2303" w:type="dxa"/>
            <w:vAlign w:val="center"/>
          </w:tcPr>
          <w:p>
            <w:pPr>
              <w:pStyle w:val="175"/>
              <w:spacing w:line="360" w:lineRule="auto"/>
              <w:ind w:left="5500"/>
              <w:rPr>
                <w:rFonts w:ascii="宋体" w:hAnsi="宋体" w:cs="Arial"/>
                <w:szCs w:val="24"/>
              </w:rPr>
            </w:pPr>
          </w:p>
        </w:tc>
        <w:tc>
          <w:tcPr>
            <w:tcW w:w="1858" w:type="dxa"/>
            <w:vAlign w:val="center"/>
          </w:tcPr>
          <w:p>
            <w:pPr>
              <w:tabs>
                <w:tab w:val="left" w:pos="567"/>
                <w:tab w:val="left" w:pos="1418"/>
              </w:tabs>
              <w:spacing w:line="360" w:lineRule="auto"/>
              <w:jc w:val="center"/>
              <w:rPr>
                <w:rFonts w:cs="Arial"/>
                <w:szCs w:val="24"/>
              </w:rPr>
            </w:pPr>
            <w:r>
              <w:rPr>
                <w:rFonts w:cs="Arial"/>
                <w:szCs w:val="24"/>
              </w:rPr>
              <w:t>专工</w:t>
            </w:r>
          </w:p>
        </w:tc>
        <w:tc>
          <w:tcPr>
            <w:tcW w:w="1665" w:type="dxa"/>
            <w:vAlign w:val="center"/>
          </w:tcPr>
          <w:p>
            <w:pPr>
              <w:tabs>
                <w:tab w:val="left" w:pos="567"/>
                <w:tab w:val="left" w:pos="1418"/>
              </w:tabs>
              <w:spacing w:line="360" w:lineRule="auto"/>
              <w:jc w:val="center"/>
              <w:rPr>
                <w:rFonts w:cs="Arial"/>
                <w:szCs w:val="24"/>
              </w:rPr>
            </w:pPr>
          </w:p>
        </w:tc>
        <w:tc>
          <w:tcPr>
            <w:tcW w:w="1335" w:type="dxa"/>
            <w:vAlign w:val="center"/>
          </w:tcPr>
          <w:p>
            <w:pPr>
              <w:tabs>
                <w:tab w:val="left" w:pos="567"/>
                <w:tab w:val="left" w:pos="1418"/>
              </w:tabs>
              <w:spacing w:line="360" w:lineRule="auto"/>
              <w:jc w:val="center"/>
              <w:rPr>
                <w:rFonts w:cs="Arial"/>
                <w:szCs w:val="24"/>
              </w:rPr>
            </w:pPr>
            <w:r>
              <w:rPr>
                <w:rFonts w:cs="Arial"/>
                <w:szCs w:val="24"/>
              </w:rPr>
              <w:t>现场</w:t>
            </w:r>
          </w:p>
        </w:tc>
        <w:tc>
          <w:tcPr>
            <w:tcW w:w="1084" w:type="dxa"/>
            <w:vAlign w:val="center"/>
          </w:tcPr>
          <w:p>
            <w:pPr>
              <w:spacing w:line="360" w:lineRule="auto"/>
              <w:jc w:val="center"/>
              <w:rPr>
                <w:rFonts w:cs="Arial"/>
                <w:szCs w:val="24"/>
              </w:rPr>
            </w:pPr>
          </w:p>
        </w:tc>
      </w:tr>
    </w:tbl>
    <w:p>
      <w:pPr>
        <w:numPr>
          <w:ilvl w:val="1"/>
          <w:numId w:val="12"/>
        </w:numPr>
        <w:tabs>
          <w:tab w:val="left" w:pos="240"/>
          <w:tab w:val="left" w:pos="600"/>
          <w:tab w:val="left" w:pos="840"/>
        </w:tabs>
        <w:autoSpaceDE/>
        <w:autoSpaceDN/>
        <w:adjustRightInd w:val="0"/>
        <w:snapToGrid w:val="0"/>
        <w:spacing w:line="360" w:lineRule="auto"/>
        <w:textAlignment w:val="baseline"/>
        <w:rPr>
          <w:lang w:eastAsia="zh-CN"/>
        </w:rPr>
      </w:pPr>
      <w:r>
        <w:rPr>
          <w:rFonts w:hint="eastAsia"/>
          <w:lang w:eastAsia="zh-CN"/>
        </w:rPr>
        <w:t>培训的时间、人数、地点等具体内容由买卖双方商定。</w:t>
      </w:r>
    </w:p>
    <w:p>
      <w:pPr>
        <w:numPr>
          <w:ilvl w:val="1"/>
          <w:numId w:val="12"/>
        </w:numPr>
        <w:tabs>
          <w:tab w:val="left" w:pos="240"/>
          <w:tab w:val="left" w:pos="600"/>
          <w:tab w:val="left" w:pos="840"/>
        </w:tabs>
        <w:autoSpaceDE/>
        <w:autoSpaceDN/>
        <w:adjustRightInd w:val="0"/>
        <w:snapToGrid w:val="0"/>
        <w:spacing w:line="360" w:lineRule="auto"/>
        <w:textAlignment w:val="baseline"/>
        <w:rPr>
          <w:lang w:eastAsia="zh-CN"/>
        </w:rPr>
      </w:pPr>
      <w:r>
        <w:rPr>
          <w:rFonts w:hint="eastAsia"/>
          <w:lang w:eastAsia="zh-CN"/>
        </w:rPr>
        <w:t>投标方为招标方培训人员提供设备、场地、资料等培训条件，并提供食宿和交通方便，发生费用由投标方自理。</w:t>
      </w:r>
    </w:p>
    <w:p>
      <w:pPr>
        <w:pStyle w:val="3"/>
        <w:rPr>
          <w:lang w:eastAsia="zh-CN"/>
        </w:rPr>
      </w:pPr>
      <w:r>
        <w:rPr>
          <w:lang w:eastAsia="zh-CN"/>
        </w:rPr>
        <w:br w:type="page"/>
      </w:r>
      <w:bookmarkStart w:id="62" w:name="_Toc22331"/>
      <w:bookmarkStart w:id="63" w:name="_Toc536629221"/>
      <w:bookmarkStart w:id="64" w:name="_Toc8032"/>
      <w:bookmarkStart w:id="65" w:name="_Toc103591626"/>
      <w:r>
        <w:rPr>
          <w:rFonts w:hint="eastAsia"/>
          <w:lang w:eastAsia="zh-CN"/>
        </w:rPr>
        <w:t>附件七  技术偏离表</w:t>
      </w:r>
      <w:bookmarkEnd w:id="62"/>
      <w:bookmarkEnd w:id="63"/>
      <w:bookmarkEnd w:id="64"/>
      <w:bookmarkEnd w:id="65"/>
    </w:p>
    <w:p>
      <w:pPr>
        <w:rPr>
          <w:lang w:eastAsia="zh-CN"/>
        </w:rPr>
      </w:pPr>
    </w:p>
    <w:p>
      <w:pPr>
        <w:rPr>
          <w:lang w:eastAsia="zh-CN"/>
        </w:rPr>
      </w:pPr>
    </w:p>
    <w:p>
      <w:pPr>
        <w:ind w:firstLine="1980" w:firstLineChars="900"/>
        <w:rPr>
          <w:lang w:eastAsia="zh-CN"/>
        </w:rPr>
      </w:pPr>
      <w:r>
        <w:rPr>
          <w:rFonts w:hint="eastAsia"/>
          <w:lang w:eastAsia="zh-CN"/>
        </w:rPr>
        <w:t>招标编号：</w:t>
      </w:r>
      <w:r>
        <w:rPr>
          <w:rFonts w:hint="eastAsia"/>
          <w:u w:val="single"/>
          <w:lang w:eastAsia="zh-CN"/>
        </w:rPr>
        <w:t xml:space="preserve">             </w:t>
      </w:r>
      <w:r>
        <w:rPr>
          <w:u w:val="single"/>
          <w:lang w:eastAsia="zh-CN"/>
        </w:rPr>
        <w:t xml:space="preserve"> </w:t>
      </w:r>
      <w:r>
        <w:rPr>
          <w:rFonts w:hint="eastAsia"/>
          <w:lang w:eastAsia="zh-CN"/>
        </w:rPr>
        <w:t xml:space="preserve">                              合同包号：</w:t>
      </w:r>
      <w:r>
        <w:rPr>
          <w:rFonts w:hint="eastAsia"/>
          <w:u w:val="single"/>
          <w:lang w:eastAsia="zh-CN"/>
        </w:rPr>
        <w:t xml:space="preserve">          </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9"/>
        <w:gridCol w:w="1452"/>
        <w:gridCol w:w="1399"/>
        <w:gridCol w:w="2021"/>
        <w:gridCol w:w="2331"/>
        <w:gridCol w:w="1865"/>
        <w:gridCol w:w="17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blHeader/>
          <w:jc w:val="center"/>
        </w:trPr>
        <w:tc>
          <w:tcPr>
            <w:tcW w:w="1589" w:type="dxa"/>
            <w:vAlign w:val="center"/>
          </w:tcPr>
          <w:p>
            <w:pPr>
              <w:jc w:val="center"/>
              <w:rPr>
                <w:b/>
                <w:bCs/>
                <w:sz w:val="21"/>
                <w:szCs w:val="21"/>
              </w:rPr>
            </w:pPr>
            <w:r>
              <w:rPr>
                <w:rFonts w:hint="eastAsia"/>
                <w:b/>
                <w:bCs/>
                <w:sz w:val="21"/>
                <w:szCs w:val="21"/>
              </w:rPr>
              <w:t>品目号</w:t>
            </w:r>
          </w:p>
        </w:tc>
        <w:tc>
          <w:tcPr>
            <w:tcW w:w="1452" w:type="dxa"/>
            <w:vAlign w:val="center"/>
          </w:tcPr>
          <w:p>
            <w:pPr>
              <w:jc w:val="center"/>
              <w:rPr>
                <w:b/>
                <w:bCs/>
                <w:sz w:val="21"/>
                <w:szCs w:val="21"/>
              </w:rPr>
            </w:pPr>
            <w:r>
              <w:rPr>
                <w:rFonts w:hint="eastAsia"/>
                <w:b/>
                <w:bCs/>
                <w:sz w:val="21"/>
                <w:szCs w:val="21"/>
              </w:rPr>
              <w:t>货物名称</w:t>
            </w:r>
          </w:p>
        </w:tc>
        <w:tc>
          <w:tcPr>
            <w:tcW w:w="1399" w:type="dxa"/>
            <w:vAlign w:val="center"/>
          </w:tcPr>
          <w:p>
            <w:pPr>
              <w:jc w:val="center"/>
              <w:rPr>
                <w:b/>
                <w:bCs/>
                <w:sz w:val="21"/>
                <w:szCs w:val="21"/>
              </w:rPr>
            </w:pPr>
            <w:r>
              <w:rPr>
                <w:rFonts w:hint="eastAsia"/>
                <w:b/>
                <w:bCs/>
                <w:sz w:val="21"/>
                <w:szCs w:val="21"/>
              </w:rPr>
              <w:t>招标文件</w:t>
            </w:r>
          </w:p>
          <w:p>
            <w:pPr>
              <w:jc w:val="center"/>
              <w:rPr>
                <w:b/>
                <w:bCs/>
                <w:sz w:val="21"/>
                <w:szCs w:val="21"/>
              </w:rPr>
            </w:pPr>
            <w:r>
              <w:rPr>
                <w:rFonts w:hint="eastAsia"/>
                <w:b/>
                <w:bCs/>
                <w:sz w:val="21"/>
                <w:szCs w:val="21"/>
              </w:rPr>
              <w:t>条目号</w:t>
            </w:r>
          </w:p>
        </w:tc>
        <w:tc>
          <w:tcPr>
            <w:tcW w:w="2021" w:type="dxa"/>
            <w:vAlign w:val="center"/>
          </w:tcPr>
          <w:p>
            <w:pPr>
              <w:jc w:val="center"/>
              <w:rPr>
                <w:b/>
                <w:bCs/>
                <w:sz w:val="21"/>
                <w:szCs w:val="21"/>
              </w:rPr>
            </w:pPr>
            <w:r>
              <w:rPr>
                <w:rFonts w:hint="eastAsia"/>
                <w:b/>
                <w:bCs/>
                <w:sz w:val="21"/>
                <w:szCs w:val="21"/>
              </w:rPr>
              <w:t>招标文件的</w:t>
            </w:r>
          </w:p>
          <w:p>
            <w:pPr>
              <w:jc w:val="center"/>
              <w:rPr>
                <w:b/>
                <w:bCs/>
                <w:sz w:val="21"/>
                <w:szCs w:val="21"/>
              </w:rPr>
            </w:pPr>
            <w:r>
              <w:rPr>
                <w:rFonts w:hint="eastAsia"/>
                <w:b/>
                <w:bCs/>
                <w:sz w:val="21"/>
                <w:szCs w:val="21"/>
              </w:rPr>
              <w:t>技术条款</w:t>
            </w:r>
          </w:p>
        </w:tc>
        <w:tc>
          <w:tcPr>
            <w:tcW w:w="2331" w:type="dxa"/>
            <w:vAlign w:val="center"/>
          </w:tcPr>
          <w:p>
            <w:pPr>
              <w:jc w:val="center"/>
              <w:rPr>
                <w:b/>
                <w:bCs/>
                <w:sz w:val="21"/>
                <w:szCs w:val="21"/>
              </w:rPr>
            </w:pPr>
            <w:r>
              <w:rPr>
                <w:rFonts w:hint="eastAsia"/>
                <w:b/>
                <w:bCs/>
                <w:sz w:val="21"/>
                <w:szCs w:val="21"/>
              </w:rPr>
              <w:t>投标文件的技术条款</w:t>
            </w:r>
          </w:p>
        </w:tc>
        <w:tc>
          <w:tcPr>
            <w:tcW w:w="1865" w:type="dxa"/>
            <w:vAlign w:val="center"/>
          </w:tcPr>
          <w:p>
            <w:pPr>
              <w:jc w:val="center"/>
              <w:rPr>
                <w:b/>
                <w:bCs/>
                <w:sz w:val="21"/>
                <w:szCs w:val="21"/>
              </w:rPr>
            </w:pPr>
            <w:r>
              <w:rPr>
                <w:rFonts w:hint="eastAsia"/>
                <w:b/>
                <w:bCs/>
                <w:sz w:val="21"/>
                <w:szCs w:val="21"/>
              </w:rPr>
              <w:t>偏离说明</w:t>
            </w:r>
          </w:p>
        </w:tc>
        <w:tc>
          <w:tcPr>
            <w:tcW w:w="1797" w:type="dxa"/>
            <w:vAlign w:val="center"/>
          </w:tcPr>
          <w:p>
            <w:pPr>
              <w:jc w:val="center"/>
              <w:rPr>
                <w:b/>
                <w:bCs/>
                <w:sz w:val="21"/>
                <w:szCs w:val="21"/>
              </w:rPr>
            </w:pPr>
            <w:r>
              <w:rPr>
                <w:rFonts w:hint="eastAsia"/>
                <w:b/>
                <w:bCs/>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589" w:type="dxa"/>
            <w:vAlign w:val="center"/>
          </w:tcPr>
          <w:p>
            <w:pPr>
              <w:spacing w:line="276" w:lineRule="auto"/>
              <w:jc w:val="center"/>
              <w:rPr>
                <w:szCs w:val="24"/>
              </w:rPr>
            </w:pPr>
          </w:p>
        </w:tc>
        <w:tc>
          <w:tcPr>
            <w:tcW w:w="1452" w:type="dxa"/>
            <w:vAlign w:val="center"/>
          </w:tcPr>
          <w:p>
            <w:pPr>
              <w:spacing w:line="276" w:lineRule="auto"/>
              <w:rPr>
                <w:szCs w:val="24"/>
              </w:rPr>
            </w:pPr>
          </w:p>
        </w:tc>
        <w:tc>
          <w:tcPr>
            <w:tcW w:w="1399" w:type="dxa"/>
            <w:vAlign w:val="center"/>
          </w:tcPr>
          <w:p>
            <w:pPr>
              <w:spacing w:line="276" w:lineRule="auto"/>
              <w:rPr>
                <w:szCs w:val="24"/>
              </w:rPr>
            </w:pPr>
          </w:p>
        </w:tc>
        <w:tc>
          <w:tcPr>
            <w:tcW w:w="2021" w:type="dxa"/>
            <w:vAlign w:val="center"/>
          </w:tcPr>
          <w:p>
            <w:pPr>
              <w:spacing w:line="276" w:lineRule="auto"/>
              <w:rPr>
                <w:b/>
                <w:szCs w:val="24"/>
              </w:rPr>
            </w:pPr>
          </w:p>
        </w:tc>
        <w:tc>
          <w:tcPr>
            <w:tcW w:w="2331" w:type="dxa"/>
            <w:vAlign w:val="center"/>
          </w:tcPr>
          <w:p>
            <w:pPr>
              <w:spacing w:line="276" w:lineRule="auto"/>
              <w:rPr>
                <w:b/>
                <w:szCs w:val="24"/>
              </w:rPr>
            </w:pPr>
          </w:p>
        </w:tc>
        <w:tc>
          <w:tcPr>
            <w:tcW w:w="1865" w:type="dxa"/>
            <w:vAlign w:val="center"/>
          </w:tcPr>
          <w:p>
            <w:pPr>
              <w:spacing w:line="276" w:lineRule="auto"/>
              <w:rPr>
                <w:szCs w:val="24"/>
              </w:rPr>
            </w:pPr>
          </w:p>
        </w:tc>
        <w:tc>
          <w:tcPr>
            <w:tcW w:w="1797" w:type="dxa"/>
            <w:vAlign w:val="center"/>
          </w:tcPr>
          <w:p>
            <w:pPr>
              <w:spacing w:line="276" w:lineRule="auto"/>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589" w:type="dxa"/>
            <w:vAlign w:val="center"/>
          </w:tcPr>
          <w:p>
            <w:pPr>
              <w:spacing w:line="276" w:lineRule="auto"/>
              <w:jc w:val="center"/>
              <w:rPr>
                <w:szCs w:val="24"/>
              </w:rPr>
            </w:pPr>
          </w:p>
        </w:tc>
        <w:tc>
          <w:tcPr>
            <w:tcW w:w="1452" w:type="dxa"/>
            <w:vAlign w:val="center"/>
          </w:tcPr>
          <w:p>
            <w:pPr>
              <w:spacing w:line="276" w:lineRule="auto"/>
              <w:rPr>
                <w:szCs w:val="24"/>
              </w:rPr>
            </w:pPr>
          </w:p>
        </w:tc>
        <w:tc>
          <w:tcPr>
            <w:tcW w:w="1399" w:type="dxa"/>
            <w:vAlign w:val="center"/>
          </w:tcPr>
          <w:p>
            <w:pPr>
              <w:spacing w:line="276" w:lineRule="auto"/>
              <w:rPr>
                <w:szCs w:val="24"/>
              </w:rPr>
            </w:pPr>
          </w:p>
        </w:tc>
        <w:tc>
          <w:tcPr>
            <w:tcW w:w="2021" w:type="dxa"/>
            <w:vAlign w:val="center"/>
          </w:tcPr>
          <w:p>
            <w:pPr>
              <w:spacing w:line="276" w:lineRule="auto"/>
              <w:rPr>
                <w:szCs w:val="24"/>
              </w:rPr>
            </w:pPr>
          </w:p>
        </w:tc>
        <w:tc>
          <w:tcPr>
            <w:tcW w:w="2331" w:type="dxa"/>
            <w:vAlign w:val="center"/>
          </w:tcPr>
          <w:p>
            <w:pPr>
              <w:spacing w:line="276" w:lineRule="auto"/>
              <w:rPr>
                <w:szCs w:val="24"/>
              </w:rPr>
            </w:pPr>
          </w:p>
        </w:tc>
        <w:tc>
          <w:tcPr>
            <w:tcW w:w="1865" w:type="dxa"/>
            <w:vAlign w:val="center"/>
          </w:tcPr>
          <w:p>
            <w:pPr>
              <w:spacing w:line="276" w:lineRule="auto"/>
              <w:rPr>
                <w:szCs w:val="24"/>
              </w:rPr>
            </w:pPr>
          </w:p>
        </w:tc>
        <w:tc>
          <w:tcPr>
            <w:tcW w:w="1797" w:type="dxa"/>
            <w:vAlign w:val="center"/>
          </w:tcPr>
          <w:p>
            <w:pPr>
              <w:spacing w:line="276" w:lineRule="auto"/>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1589" w:type="dxa"/>
            <w:vAlign w:val="center"/>
          </w:tcPr>
          <w:p>
            <w:pPr>
              <w:spacing w:line="276" w:lineRule="auto"/>
              <w:jc w:val="center"/>
              <w:rPr>
                <w:szCs w:val="24"/>
              </w:rPr>
            </w:pPr>
          </w:p>
        </w:tc>
        <w:tc>
          <w:tcPr>
            <w:tcW w:w="1452" w:type="dxa"/>
            <w:vAlign w:val="center"/>
          </w:tcPr>
          <w:p>
            <w:pPr>
              <w:spacing w:line="276" w:lineRule="auto"/>
              <w:rPr>
                <w:szCs w:val="24"/>
              </w:rPr>
            </w:pPr>
          </w:p>
        </w:tc>
        <w:tc>
          <w:tcPr>
            <w:tcW w:w="1399" w:type="dxa"/>
            <w:vAlign w:val="center"/>
          </w:tcPr>
          <w:p>
            <w:pPr>
              <w:spacing w:line="276" w:lineRule="auto"/>
              <w:rPr>
                <w:szCs w:val="24"/>
              </w:rPr>
            </w:pPr>
          </w:p>
        </w:tc>
        <w:tc>
          <w:tcPr>
            <w:tcW w:w="2021" w:type="dxa"/>
            <w:vAlign w:val="center"/>
          </w:tcPr>
          <w:p>
            <w:pPr>
              <w:spacing w:line="276" w:lineRule="auto"/>
              <w:rPr>
                <w:szCs w:val="24"/>
              </w:rPr>
            </w:pPr>
          </w:p>
        </w:tc>
        <w:tc>
          <w:tcPr>
            <w:tcW w:w="2331" w:type="dxa"/>
            <w:vAlign w:val="center"/>
          </w:tcPr>
          <w:p>
            <w:pPr>
              <w:spacing w:line="276" w:lineRule="auto"/>
              <w:rPr>
                <w:szCs w:val="24"/>
              </w:rPr>
            </w:pPr>
          </w:p>
        </w:tc>
        <w:tc>
          <w:tcPr>
            <w:tcW w:w="1865" w:type="dxa"/>
            <w:vAlign w:val="center"/>
          </w:tcPr>
          <w:p>
            <w:pPr>
              <w:spacing w:line="276" w:lineRule="auto"/>
              <w:rPr>
                <w:szCs w:val="24"/>
              </w:rPr>
            </w:pPr>
          </w:p>
        </w:tc>
        <w:tc>
          <w:tcPr>
            <w:tcW w:w="1797" w:type="dxa"/>
            <w:vAlign w:val="center"/>
          </w:tcPr>
          <w:p>
            <w:pPr>
              <w:spacing w:line="276" w:lineRule="auto"/>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589" w:type="dxa"/>
            <w:vAlign w:val="center"/>
          </w:tcPr>
          <w:p>
            <w:pPr>
              <w:spacing w:line="276" w:lineRule="auto"/>
              <w:jc w:val="center"/>
              <w:rPr>
                <w:szCs w:val="24"/>
              </w:rPr>
            </w:pPr>
          </w:p>
        </w:tc>
        <w:tc>
          <w:tcPr>
            <w:tcW w:w="1452" w:type="dxa"/>
            <w:vAlign w:val="center"/>
          </w:tcPr>
          <w:p>
            <w:pPr>
              <w:spacing w:line="276" w:lineRule="auto"/>
              <w:rPr>
                <w:szCs w:val="24"/>
              </w:rPr>
            </w:pPr>
          </w:p>
        </w:tc>
        <w:tc>
          <w:tcPr>
            <w:tcW w:w="1399" w:type="dxa"/>
            <w:vAlign w:val="center"/>
          </w:tcPr>
          <w:p>
            <w:pPr>
              <w:spacing w:line="276" w:lineRule="auto"/>
              <w:rPr>
                <w:szCs w:val="24"/>
              </w:rPr>
            </w:pPr>
          </w:p>
        </w:tc>
        <w:tc>
          <w:tcPr>
            <w:tcW w:w="2021" w:type="dxa"/>
            <w:vAlign w:val="center"/>
          </w:tcPr>
          <w:p>
            <w:pPr>
              <w:spacing w:line="276" w:lineRule="auto"/>
              <w:rPr>
                <w:szCs w:val="24"/>
              </w:rPr>
            </w:pPr>
          </w:p>
        </w:tc>
        <w:tc>
          <w:tcPr>
            <w:tcW w:w="2331" w:type="dxa"/>
            <w:vAlign w:val="center"/>
          </w:tcPr>
          <w:p>
            <w:pPr>
              <w:spacing w:line="276" w:lineRule="auto"/>
              <w:rPr>
                <w:szCs w:val="24"/>
              </w:rPr>
            </w:pPr>
          </w:p>
        </w:tc>
        <w:tc>
          <w:tcPr>
            <w:tcW w:w="1865" w:type="dxa"/>
            <w:vAlign w:val="center"/>
          </w:tcPr>
          <w:p>
            <w:pPr>
              <w:spacing w:line="276" w:lineRule="auto"/>
              <w:rPr>
                <w:szCs w:val="24"/>
              </w:rPr>
            </w:pPr>
          </w:p>
        </w:tc>
        <w:tc>
          <w:tcPr>
            <w:tcW w:w="1797" w:type="dxa"/>
            <w:vAlign w:val="center"/>
          </w:tcPr>
          <w:p>
            <w:pPr>
              <w:spacing w:line="276" w:lineRule="auto"/>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589" w:type="dxa"/>
            <w:vAlign w:val="center"/>
          </w:tcPr>
          <w:p>
            <w:pPr>
              <w:spacing w:line="276" w:lineRule="auto"/>
              <w:jc w:val="center"/>
              <w:rPr>
                <w:szCs w:val="24"/>
              </w:rPr>
            </w:pPr>
          </w:p>
        </w:tc>
        <w:tc>
          <w:tcPr>
            <w:tcW w:w="1452" w:type="dxa"/>
            <w:vAlign w:val="center"/>
          </w:tcPr>
          <w:p>
            <w:pPr>
              <w:spacing w:line="276" w:lineRule="auto"/>
              <w:rPr>
                <w:szCs w:val="24"/>
              </w:rPr>
            </w:pPr>
          </w:p>
        </w:tc>
        <w:tc>
          <w:tcPr>
            <w:tcW w:w="1399" w:type="dxa"/>
            <w:vAlign w:val="center"/>
          </w:tcPr>
          <w:p>
            <w:pPr>
              <w:spacing w:line="276" w:lineRule="auto"/>
              <w:rPr>
                <w:szCs w:val="24"/>
              </w:rPr>
            </w:pPr>
          </w:p>
        </w:tc>
        <w:tc>
          <w:tcPr>
            <w:tcW w:w="2021" w:type="dxa"/>
            <w:vAlign w:val="center"/>
          </w:tcPr>
          <w:p>
            <w:pPr>
              <w:spacing w:line="276" w:lineRule="auto"/>
              <w:rPr>
                <w:szCs w:val="24"/>
              </w:rPr>
            </w:pPr>
          </w:p>
        </w:tc>
        <w:tc>
          <w:tcPr>
            <w:tcW w:w="2331" w:type="dxa"/>
            <w:vAlign w:val="center"/>
          </w:tcPr>
          <w:p>
            <w:pPr>
              <w:spacing w:line="276" w:lineRule="auto"/>
              <w:rPr>
                <w:szCs w:val="24"/>
              </w:rPr>
            </w:pPr>
          </w:p>
        </w:tc>
        <w:tc>
          <w:tcPr>
            <w:tcW w:w="1865" w:type="dxa"/>
            <w:vAlign w:val="center"/>
          </w:tcPr>
          <w:p>
            <w:pPr>
              <w:spacing w:line="276" w:lineRule="auto"/>
              <w:rPr>
                <w:szCs w:val="24"/>
              </w:rPr>
            </w:pPr>
          </w:p>
        </w:tc>
        <w:tc>
          <w:tcPr>
            <w:tcW w:w="1797" w:type="dxa"/>
            <w:vAlign w:val="center"/>
          </w:tcPr>
          <w:p>
            <w:pPr>
              <w:spacing w:line="276" w:lineRule="auto"/>
              <w:rPr>
                <w:szCs w:val="24"/>
              </w:rPr>
            </w:pPr>
          </w:p>
        </w:tc>
      </w:tr>
    </w:tbl>
    <w:p>
      <w:pPr>
        <w:spacing w:before="120" w:beforeLines="50" w:after="120" w:afterLines="50" w:line="360" w:lineRule="auto"/>
        <w:rPr>
          <w:lang w:eastAsia="zh-CN"/>
        </w:rPr>
        <w:sectPr>
          <w:pgSz w:w="16840" w:h="11907" w:orient="landscape"/>
          <w:pgMar w:top="851" w:right="1474" w:bottom="1474" w:left="1474" w:header="964" w:footer="964" w:gutter="567"/>
          <w:cols w:space="720" w:num="1"/>
          <w:docGrid w:linePitch="326" w:charSpace="0"/>
        </w:sectPr>
      </w:pPr>
      <w:r>
        <w:rPr>
          <w:rFonts w:hint="eastAsia"/>
          <w:lang w:eastAsia="zh-CN"/>
        </w:rPr>
        <w:t>注：投标人提交的投标文件中与招标文件技术部分的要求有不同时，应逐条列在偏离表中，否则将认为投标人接受招标文件的要求。</w:t>
      </w:r>
    </w:p>
    <w:p>
      <w:pPr>
        <w:pStyle w:val="3"/>
        <w:rPr>
          <w:lang w:eastAsia="zh-CN"/>
        </w:rPr>
      </w:pPr>
      <w:bookmarkStart w:id="66" w:name="_Toc103591627"/>
      <w:r>
        <w:rPr>
          <w:rFonts w:hint="eastAsia"/>
          <w:lang w:eastAsia="zh-CN"/>
        </w:rPr>
        <w:t>附件八  参选资格及评选</w:t>
      </w:r>
      <w:r>
        <w:rPr>
          <w:lang w:eastAsia="zh-CN"/>
        </w:rPr>
        <w:t>办法</w:t>
      </w:r>
      <w:bookmarkEnd w:id="66"/>
      <w:r>
        <w:rPr>
          <w:lang w:eastAsia="zh-CN"/>
        </w:rPr>
        <w:t>见参选文件</w:t>
      </w:r>
    </w:p>
    <w:p>
      <w:pPr>
        <w:pStyle w:val="3"/>
        <w:rPr>
          <w:lang w:eastAsia="zh-CN"/>
        </w:rPr>
      </w:pPr>
      <w:bookmarkStart w:id="67" w:name="_Toc103591628"/>
      <w:r>
        <w:rPr>
          <w:rFonts w:hint="eastAsia"/>
          <w:lang w:eastAsia="zh-CN"/>
        </w:rPr>
        <w:t>附件</w:t>
      </w:r>
      <w:r>
        <w:rPr>
          <w:lang w:eastAsia="zh-CN"/>
        </w:rPr>
        <w:t>九</w:t>
      </w:r>
      <w:r>
        <w:rPr>
          <w:rFonts w:hint="eastAsia"/>
          <w:lang w:eastAsia="zh-CN"/>
        </w:rPr>
        <w:t xml:space="preserve">  锅炉火焰监测冷却风道布置图</w:t>
      </w:r>
      <w:bookmarkEnd w:id="67"/>
    </w:p>
    <w:p>
      <w:r>
        <w:rPr>
          <w:lang w:eastAsia="zh-CN"/>
        </w:rPr>
        <w:drawing>
          <wp:inline distT="0" distB="0" distL="0" distR="0">
            <wp:extent cx="5372100" cy="7811770"/>
            <wp:effectExtent l="0" t="0" r="0" b="0"/>
            <wp:docPr id="1" name="图片 1" descr="351-F071S-J0412-001 锅炉火焰监测冷却风道布置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351-F071S-J0412-001 锅炉火焰监测冷却风道布置图"/>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5373367" cy="7814180"/>
                    </a:xfrm>
                    <a:prstGeom prst="rect">
                      <a:avLst/>
                    </a:prstGeom>
                    <a:noFill/>
                    <a:ln>
                      <a:noFill/>
                    </a:ln>
                  </pic:spPr>
                </pic:pic>
              </a:graphicData>
            </a:graphic>
          </wp:inline>
        </w:drawing>
      </w:r>
    </w:p>
    <w:p>
      <w:pPr>
        <w:widowControl/>
        <w:autoSpaceDE/>
        <w:autoSpaceDN/>
        <w:rPr>
          <w:rFonts w:ascii="Arial" w:hAnsi="Arial" w:cs="Arial"/>
          <w:b/>
          <w:bCs/>
          <w:sz w:val="44"/>
          <w:szCs w:val="32"/>
          <w:lang w:eastAsia="zh-CN"/>
        </w:rPr>
      </w:pPr>
      <w:r>
        <w:rPr>
          <w:bCs/>
          <w:szCs w:val="24"/>
        </w:rPr>
        <w:fldChar w:fldCharType="end"/>
      </w:r>
      <w:r>
        <w:br w:type="page"/>
      </w:r>
    </w:p>
    <w:p>
      <w:pPr>
        <w:pStyle w:val="56"/>
        <w:rPr>
          <w:rFonts w:ascii="黑体" w:eastAsia="黑体"/>
          <w:b w:val="0"/>
          <w:sz w:val="36"/>
          <w:szCs w:val="36"/>
        </w:rPr>
      </w:pPr>
      <w:r>
        <w:rPr>
          <w:rFonts w:hint="eastAsia"/>
        </w:rPr>
        <w:t>附件2、安全环保协议书</w:t>
      </w:r>
    </w:p>
    <w:p>
      <w:pPr>
        <w:snapToGrid w:val="0"/>
        <w:spacing w:line="360" w:lineRule="auto"/>
        <w:rPr>
          <w:sz w:val="21"/>
          <w:szCs w:val="21"/>
          <w:lang w:eastAsia="zh-CN"/>
        </w:rPr>
      </w:pPr>
      <w:r>
        <w:rPr>
          <w:rFonts w:hint="eastAsia"/>
          <w:szCs w:val="21"/>
          <w:lang w:eastAsia="zh-CN"/>
        </w:rPr>
        <w:t>甲方：</w:t>
      </w:r>
      <w:r>
        <w:rPr>
          <w:rFonts w:hint="eastAsia"/>
          <w:sz w:val="21"/>
          <w:szCs w:val="21"/>
          <w:lang w:eastAsia="zh-CN"/>
        </w:rPr>
        <w:t>腾龙芳烃（漳州）有限公司</w:t>
      </w:r>
    </w:p>
    <w:p>
      <w:pPr>
        <w:pStyle w:val="32"/>
        <w:spacing w:before="156" w:after="156" w:line="400" w:lineRule="exact"/>
        <w:rPr>
          <w:lang w:eastAsia="zh-CN"/>
        </w:rPr>
      </w:pPr>
      <w:r>
        <w:rPr>
          <w:rFonts w:hint="eastAsia" w:hAnsi="宋体" w:cs="宋体"/>
          <w:lang w:eastAsia="zh-CN"/>
        </w:rPr>
        <w:t xml:space="preserve">乙方： </w:t>
      </w:r>
    </w:p>
    <w:p>
      <w:pPr>
        <w:pStyle w:val="32"/>
        <w:spacing w:before="156" w:after="156" w:line="400" w:lineRule="exact"/>
        <w:rPr>
          <w:rFonts w:hAnsi="宋体"/>
          <w:lang w:eastAsia="zh-CN"/>
        </w:rPr>
      </w:pPr>
      <w:r>
        <w:rPr>
          <w:rFonts w:hint="eastAsia" w:hAnsi="宋体"/>
          <w:lang w:eastAsia="zh-CN"/>
        </w:rPr>
        <w:t xml:space="preserve">     </w:t>
      </w:r>
      <w:r>
        <w:rPr>
          <w:rFonts w:hAnsi="宋体"/>
          <w:lang w:eastAsia="zh-CN"/>
        </w:rPr>
        <w:t>双方</w:t>
      </w:r>
      <w:r>
        <w:rPr>
          <w:rFonts w:hint="eastAsia" w:hAnsi="宋体"/>
          <w:lang w:eastAsia="zh-CN"/>
        </w:rPr>
        <w:t>就</w:t>
      </w:r>
      <w:r>
        <w:rPr>
          <w:rFonts w:hAnsi="宋体"/>
          <w:u w:val="single"/>
          <w:lang w:eastAsia="zh-CN"/>
        </w:rPr>
        <w:t xml:space="preserve">  </w:t>
      </w:r>
      <w:r>
        <w:rPr>
          <w:rFonts w:hint="eastAsia" w:hAnsi="宋体"/>
          <w:u w:val="single"/>
          <w:lang w:eastAsia="zh-CN"/>
        </w:rPr>
        <w:t>锅炉火检风源管改造发包项目</w:t>
      </w:r>
      <w:r>
        <w:rPr>
          <w:rFonts w:hint="eastAsia"/>
          <w:u w:val="single"/>
          <w:lang w:eastAsia="zh-CN"/>
        </w:rPr>
        <w:t xml:space="preserve"> </w:t>
      </w:r>
      <w:r>
        <w:rPr>
          <w:rFonts w:hint="eastAsia"/>
          <w:bCs/>
          <w:u w:val="single"/>
          <w:lang w:eastAsia="zh-CN"/>
        </w:rPr>
        <w:t xml:space="preserve"> </w:t>
      </w:r>
      <w:r>
        <w:rPr>
          <w:bCs/>
          <w:u w:val="single"/>
          <w:lang w:eastAsia="zh-CN"/>
        </w:rPr>
        <w:t xml:space="preserve"> </w:t>
      </w:r>
      <w:r>
        <w:rPr>
          <w:rFonts w:hint="eastAsia" w:hAnsi="宋体"/>
          <w:lang w:eastAsia="zh-CN"/>
        </w:rPr>
        <w:t>签订了</w:t>
      </w:r>
      <w:r>
        <w:rPr>
          <w:rFonts w:hint="eastAsia" w:hAnsi="宋体"/>
          <w:u w:val="single"/>
          <w:lang w:eastAsia="zh-CN"/>
        </w:rPr>
        <w:t xml:space="preserve"> 《锅炉火检风源管改造工程合同》 ，为进一步明确甲乙双方在项目承包合同履行过程中的权利和义</w:t>
      </w:r>
      <w:r>
        <w:rPr>
          <w:rFonts w:hint="eastAsia" w:hAnsi="宋体"/>
          <w:lang w:eastAsia="zh-CN"/>
        </w:rPr>
        <w:t>务及责任，保障人身安全和企业财产安全，依据《中华人民共和国安全生产法》、《中华人民共和国环境保护法》等相关法规及福建福海创石油化工有限公司HSE管理制度，经</w:t>
      </w:r>
      <w:r>
        <w:rPr>
          <w:rFonts w:hAnsi="宋体"/>
          <w:lang w:eastAsia="zh-CN"/>
        </w:rPr>
        <w:t>双方</w:t>
      </w:r>
      <w:r>
        <w:rPr>
          <w:rFonts w:hint="eastAsia" w:hAnsi="宋体"/>
          <w:lang w:eastAsia="zh-CN"/>
        </w:rPr>
        <w:t>协商，双方自愿签订本安全环保协议，作为主合同的附件。</w:t>
      </w:r>
    </w:p>
    <w:p>
      <w:pPr>
        <w:spacing w:line="360" w:lineRule="auto"/>
        <w:ind w:left="-549" w:leftChars="-339" w:hanging="197" w:hangingChars="89"/>
        <w:rPr>
          <w:szCs w:val="21"/>
          <w:lang w:eastAsia="zh-CN"/>
        </w:rPr>
      </w:pPr>
      <w:r>
        <w:rPr>
          <w:rFonts w:hint="eastAsia"/>
          <w:b/>
          <w:szCs w:val="21"/>
          <w:lang w:eastAsia="zh-CN"/>
        </w:rPr>
        <w:t>一、甲方的权利和义务：</w:t>
      </w:r>
    </w:p>
    <w:p>
      <w:pPr>
        <w:pStyle w:val="86"/>
        <w:spacing w:line="360" w:lineRule="auto"/>
        <w:ind w:left="-636" w:leftChars="-289" w:firstLine="110" w:firstLineChars="50"/>
        <w:rPr>
          <w:szCs w:val="21"/>
          <w:lang w:eastAsia="zh-CN"/>
        </w:rPr>
      </w:pPr>
      <w:r>
        <w:rPr>
          <w:rFonts w:hint="eastAsia"/>
          <w:szCs w:val="21"/>
          <w:lang w:eastAsia="zh-CN"/>
        </w:rPr>
        <w:t>1、 甲方有权对乙方的资质进行审查，确认其符合且具备进厂条件，方可进厂施工。</w:t>
      </w:r>
    </w:p>
    <w:p>
      <w:pPr>
        <w:pStyle w:val="86"/>
        <w:spacing w:line="360" w:lineRule="auto"/>
        <w:ind w:left="-636" w:leftChars="-289" w:firstLine="110" w:firstLineChars="50"/>
        <w:rPr>
          <w:szCs w:val="21"/>
          <w:lang w:eastAsia="zh-CN"/>
        </w:rPr>
      </w:pPr>
      <w:r>
        <w:rPr>
          <w:rFonts w:hint="eastAsia"/>
          <w:szCs w:val="21"/>
          <w:lang w:eastAsia="zh-CN"/>
        </w:rPr>
        <w:t>2、 甲方有权要求乙方维护好甲方相关的安全环保设施、设备和器材。</w:t>
      </w:r>
    </w:p>
    <w:p>
      <w:pPr>
        <w:tabs>
          <w:tab w:val="left" w:pos="360"/>
          <w:tab w:val="left" w:pos="840"/>
        </w:tabs>
        <w:spacing w:line="360" w:lineRule="auto"/>
        <w:ind w:left="-526" w:leftChars="-239"/>
        <w:rPr>
          <w:szCs w:val="21"/>
          <w:lang w:eastAsia="zh-CN"/>
        </w:rPr>
      </w:pPr>
      <w:r>
        <w:rPr>
          <w:rFonts w:hint="eastAsia"/>
          <w:szCs w:val="21"/>
          <w:lang w:eastAsia="zh-CN"/>
        </w:rPr>
        <w:t>3、 甲方有权全程检查乙方施工作业现场，对乙方人员在施工作业中违反有关安全生产规章制度的行为予以制止、纠正和处罚，并发出书面整改通知书；对严重违章的行为立即勒令其停止工作。</w:t>
      </w:r>
    </w:p>
    <w:p>
      <w:pPr>
        <w:tabs>
          <w:tab w:val="left" w:pos="360"/>
          <w:tab w:val="left" w:pos="840"/>
        </w:tabs>
        <w:spacing w:line="360" w:lineRule="auto"/>
        <w:ind w:left="-526" w:leftChars="-239"/>
        <w:rPr>
          <w:szCs w:val="21"/>
          <w:lang w:eastAsia="zh-CN"/>
        </w:rPr>
      </w:pPr>
      <w:r>
        <w:rPr>
          <w:rFonts w:hint="eastAsia"/>
          <w:szCs w:val="21"/>
          <w:lang w:eastAsia="zh-CN"/>
        </w:rPr>
        <w:t>4、 甲方有权要求乙方制定施工方案，对危险性较大的分项工程，乙方必须制定专项安全环保施工方案，明确组织措施、安全环保措施、技术措施，经甲方各相关管理部门审查合格后方可进行施工作业。</w:t>
      </w:r>
    </w:p>
    <w:p>
      <w:pPr>
        <w:tabs>
          <w:tab w:val="left" w:pos="360"/>
          <w:tab w:val="left" w:pos="840"/>
        </w:tabs>
        <w:spacing w:line="360" w:lineRule="auto"/>
        <w:ind w:left="-636" w:leftChars="-289" w:firstLine="110" w:firstLineChars="50"/>
        <w:rPr>
          <w:color w:val="FF0000"/>
          <w:szCs w:val="21"/>
          <w:lang w:eastAsia="zh-CN"/>
        </w:rPr>
      </w:pPr>
      <w:r>
        <w:rPr>
          <w:rFonts w:hint="eastAsia"/>
          <w:szCs w:val="21"/>
          <w:lang w:eastAsia="zh-CN"/>
        </w:rPr>
        <w:t>5、 甲方有权对乙方不服从管理和严重违章者，驱除施工现场。</w:t>
      </w:r>
    </w:p>
    <w:p>
      <w:pPr>
        <w:pStyle w:val="86"/>
        <w:spacing w:line="360" w:lineRule="auto"/>
        <w:ind w:left="-636" w:leftChars="-289" w:firstLine="110" w:firstLineChars="50"/>
        <w:rPr>
          <w:b/>
          <w:szCs w:val="21"/>
          <w:lang w:eastAsia="zh-CN"/>
        </w:rPr>
      </w:pPr>
      <w:r>
        <w:rPr>
          <w:rFonts w:hint="eastAsia"/>
          <w:szCs w:val="21"/>
          <w:lang w:eastAsia="zh-CN"/>
        </w:rPr>
        <w:t>6、 甲方负责对乙方进行厂级和部门级安全培训教育和考核，考核合格方可办理入厂手续。</w:t>
      </w:r>
    </w:p>
    <w:p>
      <w:pPr>
        <w:tabs>
          <w:tab w:val="left" w:pos="360"/>
          <w:tab w:val="left" w:pos="840"/>
        </w:tabs>
        <w:spacing w:line="360" w:lineRule="auto"/>
        <w:ind w:left="-636" w:leftChars="-289" w:firstLine="110" w:firstLineChars="50"/>
        <w:rPr>
          <w:szCs w:val="21"/>
          <w:lang w:eastAsia="zh-CN"/>
        </w:rPr>
      </w:pPr>
      <w:r>
        <w:rPr>
          <w:rFonts w:hint="eastAsia"/>
          <w:szCs w:val="21"/>
          <w:lang w:eastAsia="zh-CN"/>
        </w:rPr>
        <w:t>7、 甲方负责各装置的工艺处理、退料、置换、吹扫及盲板隔离工作，为本项目提供安全的施工条件。</w:t>
      </w:r>
    </w:p>
    <w:p>
      <w:pPr>
        <w:tabs>
          <w:tab w:val="left" w:pos="360"/>
          <w:tab w:val="left" w:pos="840"/>
        </w:tabs>
        <w:spacing w:line="360" w:lineRule="auto"/>
        <w:ind w:left="-636" w:leftChars="-289" w:firstLine="110" w:firstLineChars="50"/>
        <w:rPr>
          <w:szCs w:val="21"/>
          <w:lang w:eastAsia="zh-CN"/>
        </w:rPr>
      </w:pPr>
      <w:r>
        <w:rPr>
          <w:rFonts w:hint="eastAsia"/>
          <w:szCs w:val="21"/>
          <w:lang w:eastAsia="zh-CN"/>
        </w:rPr>
        <w:t>8、 甲方应乙方要求，向乙方提供与乙方作业相关的甲方有毒有害、易燃易爆物品的数据</w:t>
      </w:r>
      <w:r>
        <w:rPr>
          <w:rFonts w:hint="eastAsia"/>
          <w:sz w:val="32"/>
          <w:szCs w:val="32"/>
          <w:lang w:eastAsia="zh-CN"/>
        </w:rPr>
        <w:t>。</w:t>
      </w:r>
    </w:p>
    <w:p>
      <w:pPr>
        <w:tabs>
          <w:tab w:val="left" w:pos="360"/>
          <w:tab w:val="left" w:pos="840"/>
        </w:tabs>
        <w:spacing w:line="360" w:lineRule="auto"/>
        <w:ind w:left="-636" w:leftChars="-289" w:firstLine="110" w:firstLineChars="50"/>
        <w:rPr>
          <w:szCs w:val="21"/>
          <w:lang w:eastAsia="zh-CN"/>
        </w:rPr>
      </w:pPr>
      <w:r>
        <w:rPr>
          <w:rFonts w:hint="eastAsia"/>
          <w:szCs w:val="21"/>
          <w:lang w:eastAsia="zh-CN"/>
        </w:rPr>
        <w:t>9、 甲方在开工前必须对乙方进行全面的安全技术及文明施工交底。</w:t>
      </w:r>
    </w:p>
    <w:p>
      <w:pPr>
        <w:spacing w:line="360" w:lineRule="auto"/>
        <w:ind w:left="-549" w:leftChars="-339" w:hanging="197" w:hangingChars="89"/>
        <w:rPr>
          <w:b/>
          <w:szCs w:val="21"/>
          <w:lang w:eastAsia="zh-CN"/>
        </w:rPr>
      </w:pPr>
      <w:r>
        <w:rPr>
          <w:rFonts w:hint="eastAsia"/>
          <w:b/>
          <w:szCs w:val="21"/>
          <w:lang w:eastAsia="zh-CN"/>
        </w:rPr>
        <w:t>二、乙方的权利和义务：</w:t>
      </w:r>
    </w:p>
    <w:p>
      <w:pPr>
        <w:spacing w:line="360" w:lineRule="auto"/>
        <w:ind w:left="-526" w:leftChars="-239"/>
        <w:rPr>
          <w:szCs w:val="21"/>
          <w:lang w:eastAsia="zh-CN"/>
        </w:rPr>
      </w:pPr>
      <w:r>
        <w:rPr>
          <w:rFonts w:hint="eastAsia"/>
          <w:szCs w:val="21"/>
          <w:lang w:eastAsia="zh-CN"/>
        </w:rPr>
        <w:t>1、乙方必须严格执行国家有关安全生产的方针、政策、法令、法规，遵守国家、行业及甲方各项HSE管理制度。现场施工作业时按照甲方的各项HSE管理制度等规定办理作业许可证，服从甲方的监督管理。对甲方检查提出的安全整改通知，必须按照甲方要求及时整改。</w:t>
      </w:r>
    </w:p>
    <w:p>
      <w:pPr>
        <w:spacing w:line="360" w:lineRule="auto"/>
        <w:ind w:left="-636" w:leftChars="-289" w:firstLine="110" w:firstLineChars="50"/>
        <w:rPr>
          <w:szCs w:val="21"/>
          <w:lang w:eastAsia="zh-CN"/>
        </w:rPr>
      </w:pPr>
      <w:r>
        <w:rPr>
          <w:rFonts w:hint="eastAsia"/>
          <w:szCs w:val="21"/>
          <w:lang w:eastAsia="zh-CN"/>
        </w:rPr>
        <w:t>2、  乙方有权对甲方安全管理工作提出合理化建议或改进措施。</w:t>
      </w:r>
    </w:p>
    <w:p>
      <w:pPr>
        <w:spacing w:line="360" w:lineRule="auto"/>
        <w:ind w:left="-526" w:leftChars="-239"/>
        <w:rPr>
          <w:szCs w:val="21"/>
          <w:lang w:eastAsia="zh-CN"/>
        </w:rPr>
      </w:pPr>
      <w:r>
        <w:rPr>
          <w:rFonts w:hint="eastAsia"/>
          <w:szCs w:val="21"/>
          <w:lang w:eastAsia="zh-CN"/>
        </w:rPr>
        <w:t xml:space="preserve">3、 乙方对甲方管理人员违章指挥、强令冒险作业、有权拒绝执行。对打击和报复行为有权向上级和有关部门汇报。 </w:t>
      </w:r>
    </w:p>
    <w:p>
      <w:pPr>
        <w:spacing w:line="360" w:lineRule="auto"/>
        <w:ind w:left="-636" w:leftChars="-289" w:firstLine="110" w:firstLineChars="50"/>
        <w:rPr>
          <w:szCs w:val="21"/>
          <w:lang w:eastAsia="zh-CN"/>
        </w:rPr>
      </w:pPr>
      <w:r>
        <w:rPr>
          <w:rFonts w:hint="eastAsia"/>
          <w:szCs w:val="21"/>
          <w:lang w:eastAsia="zh-CN"/>
        </w:rPr>
        <w:t>4、 乙方对危及生命安全和身体健康的施工作业条件和环境，有权提出整改建议或拒绝施工作业。</w:t>
      </w:r>
    </w:p>
    <w:p>
      <w:pPr>
        <w:spacing w:line="360" w:lineRule="auto"/>
        <w:ind w:left="-526" w:leftChars="-239"/>
        <w:rPr>
          <w:szCs w:val="21"/>
          <w:lang w:eastAsia="zh-CN"/>
        </w:rPr>
      </w:pPr>
      <w:r>
        <w:rPr>
          <w:rFonts w:hint="eastAsia"/>
          <w:szCs w:val="21"/>
          <w:lang w:eastAsia="zh-CN"/>
        </w:rPr>
        <w:t>5、 乙方施工过程中在发生严重危及作业人员生命安全的不可抗拒紧急情况时，有权采取必要的避险措施，并立即向管理部门报告。</w:t>
      </w:r>
    </w:p>
    <w:p>
      <w:pPr>
        <w:spacing w:line="360" w:lineRule="auto"/>
        <w:ind w:left="-636" w:leftChars="-289" w:firstLine="110" w:firstLineChars="50"/>
        <w:rPr>
          <w:szCs w:val="21"/>
          <w:lang w:eastAsia="zh-CN"/>
        </w:rPr>
      </w:pPr>
      <w:r>
        <w:rPr>
          <w:rFonts w:hint="eastAsia"/>
          <w:szCs w:val="21"/>
          <w:lang w:eastAsia="zh-CN"/>
        </w:rPr>
        <w:t>6、 乙方有权要求甲方提供相关的安全资料。</w:t>
      </w:r>
    </w:p>
    <w:p>
      <w:pPr>
        <w:spacing w:line="360" w:lineRule="auto"/>
        <w:ind w:left="-636" w:leftChars="-289" w:firstLine="110" w:firstLineChars="50"/>
        <w:rPr>
          <w:b/>
          <w:szCs w:val="21"/>
          <w:lang w:eastAsia="zh-CN"/>
        </w:rPr>
      </w:pPr>
      <w:r>
        <w:rPr>
          <w:rFonts w:hint="eastAsia"/>
          <w:szCs w:val="21"/>
          <w:lang w:eastAsia="zh-CN"/>
        </w:rPr>
        <w:t xml:space="preserve">7、 </w:t>
      </w:r>
      <w:r>
        <w:rPr>
          <w:rFonts w:hint="eastAsia" w:cs="Arial"/>
          <w:lang w:eastAsia="zh-CN"/>
        </w:rPr>
        <w:t>乙方必须建立健全HSE管理网络、HSE保证体系和HSE责任制，成立专职HSE管理机构</w:t>
      </w:r>
      <w:r>
        <w:rPr>
          <w:rFonts w:hint="eastAsia"/>
          <w:szCs w:val="21"/>
          <w:lang w:eastAsia="zh-CN"/>
        </w:rPr>
        <w:t>，依照《安全生产法》的要求配备专职或兼职安全生产管理人员；施工队伍超过50人的应按比例配足专职安全员，</w:t>
      </w:r>
      <w:r>
        <w:rPr>
          <w:rFonts w:hint="eastAsia" w:cs="Arial"/>
          <w:lang w:eastAsia="zh-CN"/>
        </w:rPr>
        <w:t>并佩戴明显标志；编制和实施各安全环保施工方案和专项应急预案。</w:t>
      </w:r>
    </w:p>
    <w:p>
      <w:pPr>
        <w:spacing w:line="360" w:lineRule="auto"/>
        <w:ind w:left="-526" w:leftChars="-289" w:hanging="110" w:hangingChars="50"/>
        <w:rPr>
          <w:szCs w:val="21"/>
          <w:lang w:eastAsia="zh-CN"/>
        </w:rPr>
      </w:pPr>
      <w:r>
        <w:rPr>
          <w:rFonts w:hint="eastAsia"/>
          <w:szCs w:val="21"/>
          <w:lang w:eastAsia="zh-CN"/>
        </w:rPr>
        <w:t>8、 乙方必须按照国家安全生产的要求及甲方的HSE管理制度的要求提供相关资料，接受安全资质和条件审查，签订安全承诺书等。人员和机动车辆入厂必需按甲方HSE管理制度办理入场证。特种作业人员必需持证上岗。</w:t>
      </w:r>
    </w:p>
    <w:p>
      <w:pPr>
        <w:spacing w:line="360" w:lineRule="auto"/>
        <w:ind w:left="-551" w:leftChars="-289" w:hanging="85" w:hangingChars="39"/>
        <w:rPr>
          <w:szCs w:val="21"/>
          <w:lang w:eastAsia="zh-CN"/>
        </w:rPr>
      </w:pPr>
      <w:r>
        <w:rPr>
          <w:rFonts w:hint="eastAsia"/>
          <w:szCs w:val="21"/>
          <w:lang w:eastAsia="zh-CN"/>
        </w:rPr>
        <w:t>9、 在工程开工前，乙方必须对全体施工作业人员分工种进行安全教育、技能考试，合格后方可进行施工作业。施工作业前，必须向作业人员进行安全环保技术交底，掌握工程特点及施工安全环保措施。</w:t>
      </w:r>
    </w:p>
    <w:p>
      <w:pPr>
        <w:spacing w:line="360" w:lineRule="auto"/>
        <w:ind w:left="-551" w:leftChars="-289" w:hanging="85" w:hangingChars="39"/>
        <w:rPr>
          <w:szCs w:val="21"/>
          <w:lang w:eastAsia="zh-CN"/>
        </w:rPr>
      </w:pPr>
      <w:r>
        <w:rPr>
          <w:rFonts w:hint="eastAsia"/>
          <w:szCs w:val="21"/>
          <w:lang w:eastAsia="zh-CN"/>
        </w:rPr>
        <w:t>10、乙方开工前应对施工机械、工器具及安全防护设施进行检查，确保符合安全规定并不超过检验周期。 乙方施工人员应对所在的施工区域、作业环境、操作设施、设备、工器具等进行认真检查，发现隐患立即停止施工，并经落实整改后方准继续施工。在施工期间所使用的各种设备及工用器具等均应符合施工要求。同时乙方应遵守相关法规，根据作业现场的实际需要，设置各类安全防护设施、遮栏、安全标志牌、警告牌等。</w:t>
      </w:r>
    </w:p>
    <w:p>
      <w:pPr>
        <w:spacing w:line="360" w:lineRule="auto"/>
        <w:ind w:left="-551" w:leftChars="-289" w:hanging="85" w:hangingChars="39"/>
        <w:rPr>
          <w:szCs w:val="21"/>
          <w:lang w:eastAsia="zh-CN"/>
        </w:rPr>
      </w:pPr>
      <w:r>
        <w:rPr>
          <w:rFonts w:hint="eastAsia"/>
          <w:szCs w:val="21"/>
          <w:lang w:eastAsia="zh-CN"/>
        </w:rPr>
        <w:t>11、乙方应按《中华人民共和国劳动法》等法律、法规、规定用工，严禁使用未成年工和有职业禁忌的人员进行施工作业。</w:t>
      </w:r>
      <w:r>
        <w:rPr>
          <w:szCs w:val="21"/>
          <w:lang w:eastAsia="zh-CN"/>
        </w:rPr>
        <w:t xml:space="preserve"> </w:t>
      </w:r>
    </w:p>
    <w:p>
      <w:pPr>
        <w:spacing w:line="360" w:lineRule="auto"/>
        <w:ind w:left="-551" w:leftChars="-289" w:hanging="85" w:hangingChars="39"/>
        <w:rPr>
          <w:szCs w:val="21"/>
          <w:lang w:eastAsia="zh-CN"/>
        </w:rPr>
      </w:pPr>
      <w:r>
        <w:rPr>
          <w:rFonts w:hint="eastAsia"/>
          <w:szCs w:val="21"/>
          <w:lang w:eastAsia="zh-CN"/>
        </w:rPr>
        <w:t>12、 乙方必须按国家有关规定，为施工人员办理工伤保险、意外伤害保险（施工人员较多的承包商建议购买建筑工程团体意外险），为施工人员配备合格的劳动防护用品及安全用具，并保证施工工具、器械使用安全。</w:t>
      </w:r>
    </w:p>
    <w:p>
      <w:pPr>
        <w:spacing w:line="360" w:lineRule="auto"/>
        <w:ind w:left="-551" w:leftChars="-289" w:hanging="85" w:hangingChars="39"/>
        <w:rPr>
          <w:szCs w:val="21"/>
          <w:lang w:eastAsia="zh-CN"/>
        </w:rPr>
      </w:pPr>
      <w:r>
        <w:rPr>
          <w:rFonts w:hint="eastAsia"/>
          <w:szCs w:val="21"/>
          <w:lang w:eastAsia="zh-CN"/>
        </w:rPr>
        <w:t>13、 乙方需建立安全检查制度，指定专人负责现场安全监督检查工作，认真开展安全检查，发现作业过程中不安全行为、隐患、重大险情，应采取有效措施及时处理并报告甲方。</w:t>
      </w:r>
    </w:p>
    <w:p>
      <w:pPr>
        <w:spacing w:line="360" w:lineRule="auto"/>
        <w:ind w:left="-551" w:leftChars="-289" w:hanging="85" w:hangingChars="39"/>
        <w:rPr>
          <w:szCs w:val="21"/>
          <w:lang w:eastAsia="zh-CN"/>
        </w:rPr>
      </w:pPr>
      <w:r>
        <w:rPr>
          <w:rFonts w:hint="eastAsia"/>
          <w:szCs w:val="21"/>
          <w:lang w:eastAsia="zh-CN"/>
        </w:rPr>
        <w:t>14、 发生事故时，乙方必须及时向甲方报告。同时根据指令迅速组织实施现场人员疏散和抢救工作、采取相应的措施保护好现场，并要积极配合甲方或上级有关部门对事故的调查和现场勘查。</w:t>
      </w:r>
    </w:p>
    <w:p>
      <w:pPr>
        <w:spacing w:line="360" w:lineRule="auto"/>
        <w:ind w:left="-551" w:leftChars="-289" w:hanging="85" w:hangingChars="39"/>
        <w:rPr>
          <w:szCs w:val="21"/>
          <w:lang w:eastAsia="zh-CN"/>
        </w:rPr>
      </w:pPr>
      <w:r>
        <w:rPr>
          <w:rFonts w:hint="eastAsia"/>
          <w:szCs w:val="21"/>
          <w:lang w:eastAsia="zh-CN"/>
        </w:rPr>
        <w:t>15、 乙方进入现场的施工人员，严禁动用装置区机泵、容器、塔、加热炉等任何部位阀门，防止误开误关，造成意外事故。如确实需用，经与装置有关人员联系，同意后，由操作人员启闭阀门。</w:t>
      </w:r>
    </w:p>
    <w:p>
      <w:pPr>
        <w:spacing w:line="360" w:lineRule="auto"/>
        <w:ind w:left="-551" w:leftChars="-289" w:hanging="85" w:hangingChars="39"/>
        <w:rPr>
          <w:szCs w:val="21"/>
          <w:lang w:eastAsia="zh-CN"/>
        </w:rPr>
      </w:pPr>
      <w:r>
        <w:rPr>
          <w:rFonts w:hint="eastAsia"/>
          <w:szCs w:val="21"/>
          <w:lang w:eastAsia="zh-CN"/>
        </w:rPr>
        <w:t>16、 乙方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pPr>
        <w:spacing w:line="360" w:lineRule="auto"/>
        <w:ind w:left="-551" w:leftChars="-289" w:hanging="85" w:hangingChars="39"/>
        <w:rPr>
          <w:szCs w:val="21"/>
          <w:lang w:eastAsia="zh-CN"/>
        </w:rPr>
      </w:pPr>
      <w:r>
        <w:rPr>
          <w:rFonts w:hint="eastAsia"/>
          <w:szCs w:val="21"/>
          <w:lang w:eastAsia="zh-CN"/>
        </w:rPr>
        <w:t xml:space="preserve">17、 </w:t>
      </w:r>
      <w:r>
        <w:rPr>
          <w:rFonts w:hint="eastAsia"/>
          <w:bCs/>
          <w:lang w:eastAsia="zh-CN"/>
        </w:rPr>
        <w:t>乙方负责组织施工作业的危害辨识、风险评估，编制吊装方案、作业程序、安全措施，提交相应的部门审查、备案。并组织吊装方案、作业程序、安全措施的交底和落实。负责编制吊装相关应急预案，并组织相关人员进行学习培训。</w:t>
      </w:r>
    </w:p>
    <w:p>
      <w:pPr>
        <w:spacing w:line="360" w:lineRule="auto"/>
        <w:ind w:left="-551" w:leftChars="-289" w:hanging="85" w:hangingChars="39"/>
        <w:rPr>
          <w:bCs/>
          <w:lang w:eastAsia="zh-CN"/>
        </w:rPr>
      </w:pPr>
      <w:r>
        <w:rPr>
          <w:rFonts w:hint="eastAsia"/>
          <w:bCs/>
          <w:lang w:eastAsia="zh-CN"/>
        </w:rPr>
        <w:t xml:space="preserve">18、 </w:t>
      </w:r>
      <w:r>
        <w:rPr>
          <w:rFonts w:hint="eastAsia"/>
          <w:szCs w:val="21"/>
          <w:lang w:eastAsia="zh-CN"/>
        </w:rPr>
        <w:t>乙方</w:t>
      </w:r>
      <w:r>
        <w:rPr>
          <w:rFonts w:hint="eastAsia"/>
          <w:bCs/>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Pr>
          <w:rFonts w:hint="eastAsia"/>
          <w:lang w:eastAsia="zh-CN"/>
        </w:rPr>
        <w:t>GB 2894-2008）</w:t>
      </w:r>
      <w:r>
        <w:rPr>
          <w:rFonts w:hint="eastAsia"/>
          <w:bCs/>
          <w:lang w:eastAsia="zh-CN"/>
        </w:rPr>
        <w:t>的规定。</w:t>
      </w:r>
    </w:p>
    <w:p>
      <w:pPr>
        <w:spacing w:line="360" w:lineRule="auto"/>
        <w:ind w:left="-551" w:leftChars="-289" w:hanging="85" w:hangingChars="39"/>
        <w:rPr>
          <w:szCs w:val="21"/>
          <w:lang w:eastAsia="zh-CN"/>
        </w:rPr>
      </w:pPr>
      <w:r>
        <w:rPr>
          <w:rFonts w:hint="eastAsia"/>
          <w:bCs/>
          <w:lang w:eastAsia="zh-CN"/>
        </w:rPr>
        <w:t>19、</w:t>
      </w:r>
      <w:r>
        <w:rPr>
          <w:rFonts w:hint="eastAsia"/>
          <w:szCs w:val="21"/>
          <w:lang w:eastAsia="zh-CN"/>
        </w:rPr>
        <w:t>乙方</w:t>
      </w:r>
      <w:r>
        <w:rPr>
          <w:rFonts w:hint="eastAsia"/>
          <w:bCs/>
          <w:lang w:eastAsia="zh-CN"/>
        </w:rPr>
        <w:t>施工用配电开关箱、电焊机等临时用电设备须距离容易发生泄漏的设备及下水井、油沟和隔油池不得少于15米，确因客观条件距离达不到15米的，必须覆盖严实并检测合格。电源线、电焊把线、电焊地线必须绝缘良好，并应避开下水井、油沟等危险区域，电焊地线应固定在焊件本体上。在可燃可爆区域动火所使用的电源线和地线不准用塑料铝线，要求使用胶皮铜线。</w:t>
      </w:r>
    </w:p>
    <w:p>
      <w:pPr>
        <w:spacing w:line="360" w:lineRule="auto"/>
        <w:ind w:left="-551" w:leftChars="-289" w:hanging="85" w:hangingChars="39"/>
        <w:rPr>
          <w:szCs w:val="21"/>
          <w:lang w:eastAsia="zh-CN"/>
        </w:rPr>
      </w:pPr>
      <w:r>
        <w:rPr>
          <w:rFonts w:hint="eastAsia"/>
          <w:szCs w:val="21"/>
          <w:lang w:eastAsia="zh-CN"/>
        </w:rPr>
        <w:t>20、 乙方施工产生的</w:t>
      </w:r>
      <w:r>
        <w:rPr>
          <w:rFonts w:hint="eastAsia"/>
          <w:bCs/>
          <w:lang w:eastAsia="zh-CN"/>
        </w:rPr>
        <w:t>任何有毒、有害物质，油类，化学品，废水，生活污水及其它污染物绝不能排入雨边沟、地井或污染地表土，必须按国家及地方的相关规定进行妥善处置。</w:t>
      </w:r>
      <w:r>
        <w:rPr>
          <w:rFonts w:hint="eastAsia"/>
          <w:szCs w:val="21"/>
          <w:lang w:eastAsia="zh-CN"/>
        </w:rPr>
        <w:t>产生的废物应进行鉴别，一般固废和危险废物应妥善包装、分类堆放，并及时清理</w:t>
      </w:r>
      <w:r>
        <w:rPr>
          <w:rFonts w:hint="eastAsia"/>
          <w:sz w:val="24"/>
          <w:lang w:eastAsia="zh-CN"/>
        </w:rPr>
        <w:t>。</w:t>
      </w:r>
      <w:r>
        <w:rPr>
          <w:rFonts w:hint="eastAsia"/>
          <w:szCs w:val="21"/>
          <w:lang w:eastAsia="zh-CN"/>
        </w:rPr>
        <w:t>不能任意排放和丢弃。</w:t>
      </w:r>
    </w:p>
    <w:p>
      <w:pPr>
        <w:spacing w:line="360" w:lineRule="auto"/>
        <w:ind w:left="-551" w:leftChars="-289" w:hanging="85" w:hangingChars="39"/>
        <w:rPr>
          <w:sz w:val="24"/>
          <w:lang w:eastAsia="zh-CN"/>
        </w:rPr>
      </w:pPr>
      <w:r>
        <w:rPr>
          <w:rFonts w:hint="eastAsia"/>
          <w:szCs w:val="21"/>
          <w:lang w:eastAsia="zh-CN"/>
        </w:rPr>
        <w:t>21、 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p>
    <w:p>
      <w:pPr>
        <w:spacing w:line="360" w:lineRule="auto"/>
        <w:ind w:left="-551" w:leftChars="-289" w:hanging="85" w:hangingChars="39"/>
        <w:rPr>
          <w:szCs w:val="21"/>
          <w:lang w:eastAsia="zh-CN"/>
        </w:rPr>
      </w:pPr>
      <w:r>
        <w:rPr>
          <w:rFonts w:hint="eastAsia"/>
          <w:szCs w:val="21"/>
          <w:lang w:eastAsia="zh-CN"/>
        </w:rPr>
        <w:t xml:space="preserve">22、 </w:t>
      </w:r>
      <w:r>
        <w:rPr>
          <w:rFonts w:hint="eastAsia"/>
          <w:bCs/>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pPr>
        <w:spacing w:line="550" w:lineRule="exact"/>
        <w:ind w:left="-549" w:leftChars="-339" w:hanging="197" w:hangingChars="89"/>
        <w:rPr>
          <w:b/>
          <w:szCs w:val="21"/>
        </w:rPr>
      </w:pPr>
      <w:r>
        <w:rPr>
          <w:rFonts w:hint="eastAsia"/>
          <w:b/>
          <w:szCs w:val="21"/>
        </w:rPr>
        <w:t>三、违约责任及处理</w:t>
      </w:r>
    </w:p>
    <w:p>
      <w:pPr>
        <w:pStyle w:val="86"/>
        <w:numPr>
          <w:ilvl w:val="0"/>
          <w:numId w:val="13"/>
        </w:numPr>
        <w:autoSpaceDE/>
        <w:autoSpaceDN/>
        <w:spacing w:before="0" w:line="550" w:lineRule="exact"/>
        <w:jc w:val="both"/>
        <w:rPr>
          <w:b/>
          <w:szCs w:val="21"/>
          <w:lang w:eastAsia="zh-CN"/>
        </w:rPr>
      </w:pPr>
      <w:r>
        <w:rPr>
          <w:rFonts w:hint="eastAsia"/>
          <w:szCs w:val="21"/>
          <w:lang w:eastAsia="zh-CN"/>
        </w:rPr>
        <w:t>乙方不得将工程违法转包、分包。</w:t>
      </w:r>
    </w:p>
    <w:p>
      <w:pPr>
        <w:spacing w:line="550" w:lineRule="exact"/>
        <w:ind w:left="-397"/>
        <w:rPr>
          <w:szCs w:val="21"/>
          <w:lang w:eastAsia="zh-CN"/>
        </w:rPr>
      </w:pPr>
      <w:r>
        <w:rPr>
          <w:rFonts w:hint="eastAsia"/>
          <w:szCs w:val="21"/>
          <w:lang w:eastAsia="zh-CN"/>
        </w:rPr>
        <w:t>2、发生安全事故时，甲乙双方均有抢险、救灾的义务，所发生的费用由责任方承担。</w:t>
      </w:r>
    </w:p>
    <w:p>
      <w:pPr>
        <w:spacing w:line="550" w:lineRule="exact"/>
        <w:ind w:left="-397"/>
        <w:rPr>
          <w:szCs w:val="21"/>
          <w:lang w:eastAsia="zh-CN"/>
        </w:rPr>
      </w:pPr>
      <w:r>
        <w:rPr>
          <w:rFonts w:hint="eastAsia"/>
          <w:szCs w:val="21"/>
          <w:lang w:eastAsia="zh-CN"/>
        </w:rPr>
        <w:t>3、发生安全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pPr>
        <w:spacing w:line="550" w:lineRule="exact"/>
        <w:ind w:left="-636" w:leftChars="-289" w:firstLine="220" w:firstLineChars="100"/>
        <w:rPr>
          <w:szCs w:val="21"/>
          <w:lang w:eastAsia="zh-CN"/>
        </w:rPr>
      </w:pPr>
      <w:r>
        <w:rPr>
          <w:rFonts w:hint="eastAsia"/>
          <w:szCs w:val="21"/>
          <w:lang w:eastAsia="zh-CN"/>
        </w:rPr>
        <w:t>4、甲方违约造成的事故，甲方承担全部责任，并按规定追究有关人员责任及上报。</w:t>
      </w:r>
    </w:p>
    <w:p>
      <w:pPr>
        <w:spacing w:line="550" w:lineRule="exact"/>
        <w:ind w:left="-221" w:leftChars="-189" w:hanging="195" w:hangingChars="89"/>
        <w:rPr>
          <w:szCs w:val="21"/>
          <w:lang w:eastAsia="zh-CN"/>
        </w:rPr>
      </w:pPr>
      <w:r>
        <w:rPr>
          <w:rFonts w:hint="eastAsia"/>
          <w:szCs w:val="21"/>
          <w:lang w:eastAsia="zh-CN"/>
        </w:rPr>
        <w:t>5、 乙方在施工过程中如果有违法、违规和违章行为，甲方将按照按国家法律、法规和甲方的HSE管理制度进行处罚。处罚款由乙方现金形式交到甲方财务部，对不按时缴纳罚款的，甲方可以从乙方工程款双倍扣除。</w:t>
      </w:r>
    </w:p>
    <w:p>
      <w:pPr>
        <w:tabs>
          <w:tab w:val="left" w:pos="360"/>
          <w:tab w:val="left" w:pos="840"/>
        </w:tabs>
        <w:spacing w:line="360" w:lineRule="auto"/>
        <w:ind w:left="-86" w:leftChars="-139" w:hanging="220" w:hangingChars="100"/>
        <w:rPr>
          <w:color w:val="FF0000"/>
          <w:szCs w:val="21"/>
          <w:lang w:eastAsia="zh-CN"/>
        </w:rPr>
      </w:pPr>
      <w:r>
        <w:rPr>
          <w:rFonts w:hint="eastAsia"/>
          <w:szCs w:val="21"/>
          <w:lang w:eastAsia="zh-CN"/>
        </w:rPr>
        <w:t>6、 乙方违约造成的事故，乙方承担全部责任，对于事故后果影响较大的承包商，由甲方主管部门下达停工通知单，勒令承包商停工整顿，在承包商问题隐患整改完毕、人员培训学习合格后方可重新准予开工，并按规定追究有关人员责任并报告甲方；由于乙方工程服务质量、检修质量及购买的原材料质量导致的事故，由乙方承担全部责任构成犯罪的，依法追究刑事责任。</w:t>
      </w:r>
    </w:p>
    <w:p>
      <w:pPr>
        <w:spacing w:line="550" w:lineRule="exact"/>
        <w:ind w:left="-196" w:leftChars="-139" w:hanging="110" w:hangingChars="50"/>
        <w:rPr>
          <w:color w:val="FF0000"/>
          <w:szCs w:val="21"/>
          <w:lang w:eastAsia="zh-CN"/>
        </w:rPr>
      </w:pPr>
      <w:r>
        <w:rPr>
          <w:rFonts w:hint="eastAsia"/>
          <w:szCs w:val="21"/>
          <w:lang w:eastAsia="zh-CN"/>
        </w:rPr>
        <w:t>7、 对乙方发生事故后弄虚作假、隐瞒不报、迟报或谎报，一经查出，按有关规定处罚，并向所有在甲方范围内施工的其它承包商进行通报，并将通报送达承包商。情节严重的，取消其进入甲方的市场资格。</w:t>
      </w:r>
    </w:p>
    <w:p>
      <w:pPr>
        <w:spacing w:line="550" w:lineRule="exact"/>
        <w:ind w:left="-549" w:leftChars="-339" w:hanging="197" w:hangingChars="89"/>
        <w:rPr>
          <w:b/>
          <w:szCs w:val="21"/>
          <w:lang w:eastAsia="zh-CN"/>
        </w:rPr>
      </w:pPr>
      <w:r>
        <w:rPr>
          <w:rFonts w:hint="eastAsia"/>
          <w:b/>
          <w:szCs w:val="21"/>
          <w:lang w:eastAsia="zh-CN"/>
        </w:rPr>
        <w:t>四、 不可抗力：</w:t>
      </w:r>
    </w:p>
    <w:p>
      <w:pPr>
        <w:spacing w:line="550" w:lineRule="exact"/>
        <w:ind w:left="-551" w:leftChars="-339" w:hanging="195" w:hangingChars="89"/>
        <w:rPr>
          <w:szCs w:val="21"/>
          <w:lang w:eastAsia="zh-CN"/>
        </w:rPr>
      </w:pPr>
      <w:r>
        <w:rPr>
          <w:rFonts w:hint="eastAsia"/>
          <w:szCs w:val="21"/>
          <w:lang w:eastAsia="zh-CN"/>
        </w:rPr>
        <w:t xml:space="preserve">    由于不可抗力造成合同项目施工作业事故及产生的损失，甲乙双方各自承担相应的损失。</w:t>
      </w:r>
    </w:p>
    <w:p>
      <w:pPr>
        <w:spacing w:line="360" w:lineRule="auto"/>
        <w:ind w:left="-549" w:leftChars="-339" w:hanging="197" w:hangingChars="89"/>
        <w:rPr>
          <w:szCs w:val="21"/>
          <w:lang w:eastAsia="zh-CN"/>
        </w:rPr>
      </w:pPr>
      <w:r>
        <w:rPr>
          <w:rFonts w:hint="eastAsia"/>
          <w:b/>
          <w:szCs w:val="21"/>
          <w:lang w:eastAsia="zh-CN"/>
        </w:rPr>
        <w:t>五、</w:t>
      </w:r>
      <w:r>
        <w:rPr>
          <w:rFonts w:hint="eastAsia"/>
          <w:szCs w:val="21"/>
          <w:lang w:eastAsia="zh-CN"/>
        </w:rPr>
        <w:t>本协议书经双方盖章后生效。</w:t>
      </w:r>
    </w:p>
    <w:p>
      <w:pPr>
        <w:spacing w:line="550" w:lineRule="exact"/>
        <w:ind w:left="-549" w:leftChars="-339" w:hanging="197" w:hangingChars="89"/>
        <w:rPr>
          <w:b/>
          <w:szCs w:val="21"/>
          <w:lang w:eastAsia="zh-CN"/>
        </w:rPr>
      </w:pPr>
      <w:r>
        <w:rPr>
          <w:rFonts w:hint="eastAsia"/>
          <w:b/>
          <w:szCs w:val="21"/>
          <w:lang w:eastAsia="zh-CN"/>
        </w:rPr>
        <w:t>六、协议期限：</w:t>
      </w:r>
    </w:p>
    <w:p>
      <w:pPr>
        <w:autoSpaceDE/>
        <w:autoSpaceDN/>
        <w:spacing w:line="550" w:lineRule="exact"/>
        <w:ind w:left="-636" w:leftChars="-289" w:firstLine="110" w:firstLineChars="50"/>
        <w:rPr>
          <w:szCs w:val="21"/>
          <w:lang w:eastAsia="zh-CN"/>
        </w:rPr>
      </w:pPr>
      <w:r>
        <w:rPr>
          <w:rFonts w:hint="eastAsia"/>
          <w:szCs w:val="21"/>
          <w:lang w:eastAsia="zh-CN"/>
        </w:rPr>
        <w:t>本协议期限应与主合同期限一致。如果主合同因故需要变更期限，本合同应与主同变更至相同期限。</w:t>
      </w:r>
    </w:p>
    <w:p>
      <w:pPr>
        <w:spacing w:line="550" w:lineRule="exact"/>
        <w:ind w:left="-636" w:leftChars="-289" w:firstLine="110" w:firstLineChars="50"/>
        <w:rPr>
          <w:szCs w:val="21"/>
          <w:lang w:eastAsia="zh-CN"/>
        </w:rPr>
      </w:pPr>
    </w:p>
    <w:p>
      <w:pPr>
        <w:spacing w:line="360" w:lineRule="auto"/>
        <w:ind w:left="-551" w:leftChars="-289" w:hanging="85" w:hangingChars="39"/>
        <w:rPr>
          <w:szCs w:val="21"/>
          <w:lang w:eastAsia="zh-CN"/>
        </w:rPr>
      </w:pPr>
      <w:r>
        <w:rPr>
          <w:rFonts w:hint="eastAsia"/>
          <w:szCs w:val="21"/>
          <w:lang w:eastAsia="zh-CN"/>
        </w:rPr>
        <w:t>（以下无正文）</w:t>
      </w:r>
    </w:p>
    <w:tbl>
      <w:tblPr>
        <w:tblStyle w:val="60"/>
        <w:tblW w:w="8900" w:type="dxa"/>
        <w:tblInd w:w="89" w:type="dxa"/>
        <w:tblLayout w:type="autofit"/>
        <w:tblCellMar>
          <w:top w:w="0" w:type="dxa"/>
          <w:left w:w="108" w:type="dxa"/>
          <w:bottom w:w="0" w:type="dxa"/>
          <w:right w:w="108" w:type="dxa"/>
        </w:tblCellMar>
      </w:tblPr>
      <w:tblGrid>
        <w:gridCol w:w="4357"/>
        <w:gridCol w:w="4543"/>
      </w:tblGrid>
      <w:tr>
        <w:tblPrEx>
          <w:tblCellMar>
            <w:top w:w="0" w:type="dxa"/>
            <w:left w:w="108" w:type="dxa"/>
            <w:bottom w:w="0" w:type="dxa"/>
            <w:right w:w="108" w:type="dxa"/>
          </w:tblCellMar>
        </w:tblPrEx>
        <w:trPr>
          <w:trHeight w:val="510" w:hRule="atLeast"/>
        </w:trPr>
        <w:tc>
          <w:tcPr>
            <w:tcW w:w="4357" w:type="dxa"/>
            <w:noWrap/>
            <w:vAlign w:val="center"/>
          </w:tcPr>
          <w:p>
            <w:pPr>
              <w:widowControl/>
              <w:rPr>
                <w:sz w:val="21"/>
                <w:szCs w:val="21"/>
                <w:lang w:eastAsia="zh-CN"/>
              </w:rPr>
            </w:pPr>
            <w:r>
              <w:rPr>
                <w:rFonts w:hint="eastAsia"/>
                <w:sz w:val="21"/>
                <w:szCs w:val="21"/>
                <w:lang w:eastAsia="zh-CN"/>
              </w:rPr>
              <w:t>甲方：腾龙芳烃（漳州）有限公司</w:t>
            </w:r>
          </w:p>
        </w:tc>
        <w:tc>
          <w:tcPr>
            <w:tcW w:w="4543" w:type="dxa"/>
            <w:vAlign w:val="center"/>
          </w:tcPr>
          <w:p>
            <w:pPr>
              <w:ind w:left="248"/>
              <w:rPr>
                <w:szCs w:val="21"/>
                <w:lang w:eastAsia="zh-CN"/>
              </w:rPr>
            </w:pPr>
            <w:r>
              <w:rPr>
                <w:rFonts w:hint="eastAsia"/>
                <w:sz w:val="21"/>
                <w:szCs w:val="21"/>
                <w:lang w:eastAsia="zh-CN"/>
              </w:rPr>
              <w:t xml:space="preserve">乙方： </w:t>
            </w:r>
          </w:p>
        </w:tc>
      </w:tr>
      <w:tr>
        <w:tblPrEx>
          <w:tblCellMar>
            <w:top w:w="0" w:type="dxa"/>
            <w:left w:w="108" w:type="dxa"/>
            <w:bottom w:w="0" w:type="dxa"/>
            <w:right w:w="108" w:type="dxa"/>
          </w:tblCellMar>
        </w:tblPrEx>
        <w:trPr>
          <w:trHeight w:val="510" w:hRule="atLeast"/>
        </w:trPr>
        <w:tc>
          <w:tcPr>
            <w:tcW w:w="4357" w:type="dxa"/>
            <w:noWrap/>
            <w:vAlign w:val="center"/>
          </w:tcPr>
          <w:p>
            <w:pPr>
              <w:widowControl/>
              <w:rPr>
                <w:sz w:val="21"/>
                <w:szCs w:val="21"/>
                <w:lang w:eastAsia="zh-CN"/>
              </w:rPr>
            </w:pPr>
            <w:r>
              <w:rPr>
                <w:rFonts w:hint="eastAsia"/>
                <w:sz w:val="21"/>
                <w:szCs w:val="21"/>
                <w:lang w:eastAsia="zh-CN"/>
              </w:rPr>
              <w:t>开户银行：兴业银行漳州古雷支行</w:t>
            </w:r>
          </w:p>
        </w:tc>
        <w:tc>
          <w:tcPr>
            <w:tcW w:w="4543" w:type="dxa"/>
            <w:vAlign w:val="center"/>
          </w:tcPr>
          <w:p>
            <w:pPr>
              <w:ind w:left="248"/>
              <w:rPr>
                <w:szCs w:val="21"/>
                <w:lang w:eastAsia="zh-CN"/>
              </w:rPr>
            </w:pPr>
            <w:r>
              <w:rPr>
                <w:rFonts w:hint="eastAsia"/>
                <w:sz w:val="21"/>
                <w:szCs w:val="21"/>
                <w:lang w:eastAsia="zh-CN"/>
              </w:rPr>
              <w:t>开户银行：</w:t>
            </w:r>
            <w:r>
              <w:rPr>
                <w:sz w:val="21"/>
                <w:szCs w:val="21"/>
                <w:lang w:eastAsia="zh-CN"/>
              </w:rPr>
              <w:t xml:space="preserve"> </w:t>
            </w:r>
          </w:p>
        </w:tc>
      </w:tr>
      <w:tr>
        <w:tblPrEx>
          <w:tblCellMar>
            <w:top w:w="0" w:type="dxa"/>
            <w:left w:w="108" w:type="dxa"/>
            <w:bottom w:w="0" w:type="dxa"/>
            <w:right w:w="108" w:type="dxa"/>
          </w:tblCellMar>
        </w:tblPrEx>
        <w:trPr>
          <w:trHeight w:val="510" w:hRule="atLeast"/>
        </w:trPr>
        <w:tc>
          <w:tcPr>
            <w:tcW w:w="4357" w:type="dxa"/>
            <w:noWrap/>
            <w:vAlign w:val="center"/>
          </w:tcPr>
          <w:p>
            <w:pPr>
              <w:widowControl/>
              <w:spacing w:line="480" w:lineRule="auto"/>
              <w:rPr>
                <w:sz w:val="21"/>
                <w:szCs w:val="21"/>
                <w:lang w:eastAsia="zh-CN"/>
              </w:rPr>
            </w:pPr>
            <w:r>
              <w:rPr>
                <w:rFonts w:hint="eastAsia"/>
                <w:sz w:val="21"/>
                <w:szCs w:val="21"/>
                <w:lang w:eastAsia="zh-CN"/>
              </w:rPr>
              <w:t>帐    号：1</w:t>
            </w:r>
            <w:r>
              <w:rPr>
                <w:sz w:val="21"/>
                <w:szCs w:val="21"/>
                <w:lang w:eastAsia="zh-CN"/>
              </w:rPr>
              <w:t>62070100100021071</w:t>
            </w:r>
          </w:p>
        </w:tc>
        <w:tc>
          <w:tcPr>
            <w:tcW w:w="4543" w:type="dxa"/>
            <w:vAlign w:val="center"/>
          </w:tcPr>
          <w:p>
            <w:pPr>
              <w:ind w:left="248"/>
              <w:rPr>
                <w:szCs w:val="21"/>
              </w:rPr>
            </w:pPr>
            <w:r>
              <w:rPr>
                <w:rFonts w:hint="eastAsia"/>
                <w:sz w:val="21"/>
                <w:szCs w:val="21"/>
                <w:lang w:eastAsia="zh-CN"/>
              </w:rPr>
              <w:t>帐    号：</w:t>
            </w:r>
          </w:p>
        </w:tc>
      </w:tr>
    </w:tbl>
    <w:p/>
    <w:p>
      <w:pPr>
        <w:widowControl/>
        <w:autoSpaceDE/>
        <w:autoSpaceDN/>
        <w:rPr>
          <w:sz w:val="28"/>
          <w:u w:val="single"/>
          <w:lang w:eastAsia="zh-CN"/>
        </w:rPr>
      </w:pPr>
    </w:p>
    <w:p>
      <w:pPr>
        <w:widowControl/>
        <w:autoSpaceDE/>
        <w:autoSpaceDN/>
        <w:rPr>
          <w:rFonts w:hAnsi="Calibri" w:cs="Times New Roman"/>
          <w:b/>
          <w:bCs/>
          <w:sz w:val="24"/>
          <w:szCs w:val="24"/>
          <w:lang w:eastAsia="zh-CN"/>
        </w:rPr>
      </w:pPr>
      <w:bookmarkStart w:id="68" w:name="_Toc251742852"/>
      <w:r>
        <w:rPr>
          <w:b/>
          <w:bCs/>
          <w:sz w:val="24"/>
          <w:szCs w:val="24"/>
        </w:rPr>
        <w:br w:type="page"/>
      </w:r>
    </w:p>
    <w:p>
      <w:pPr>
        <w:pStyle w:val="2"/>
        <w:rPr>
          <w:b/>
          <w:bCs/>
          <w:sz w:val="24"/>
          <w:szCs w:val="24"/>
        </w:rPr>
      </w:pPr>
      <w:r>
        <w:rPr>
          <w:rFonts w:hint="eastAsia"/>
          <w:b/>
          <w:bCs/>
          <w:sz w:val="24"/>
          <w:szCs w:val="24"/>
        </w:rPr>
        <w:t>附件二、参选文件范本</w:t>
      </w:r>
    </w:p>
    <w:p>
      <w:pPr>
        <w:pStyle w:val="32"/>
        <w:jc w:val="center"/>
        <w:rPr>
          <w:rFonts w:ascii="Times New Roman" w:hAnsi="Times New Roman"/>
          <w:b/>
          <w:sz w:val="52"/>
          <w:szCs w:val="52"/>
          <w:lang w:eastAsia="zh-CN"/>
        </w:rPr>
      </w:pPr>
    </w:p>
    <w:p>
      <w:pPr>
        <w:pStyle w:val="32"/>
        <w:spacing w:line="615" w:lineRule="exact"/>
        <w:jc w:val="center"/>
        <w:rPr>
          <w:rFonts w:ascii="方正小标宋简体" w:hAnsi="方正小标宋简体" w:eastAsia="方正小标宋简体" w:cs="方正小标宋简体"/>
          <w:b/>
          <w:sz w:val="44"/>
          <w:szCs w:val="44"/>
          <w:lang w:eastAsia="zh-CN"/>
        </w:rPr>
      </w:pPr>
      <w:r>
        <w:rPr>
          <w:rFonts w:hint="eastAsia" w:ascii="方正小标宋简体" w:hAnsi="方正小标宋简体" w:eastAsia="方正小标宋简体" w:cs="方正小标宋简体"/>
          <w:b/>
          <w:sz w:val="44"/>
          <w:szCs w:val="44"/>
          <w:lang w:eastAsia="zh-CN"/>
        </w:rPr>
        <w:t>福建福海创石油化工有限公司</w:t>
      </w:r>
    </w:p>
    <w:p>
      <w:pPr>
        <w:pStyle w:val="32"/>
        <w:spacing w:line="615" w:lineRule="exact"/>
        <w:jc w:val="center"/>
        <w:rPr>
          <w:rFonts w:ascii="方正小标宋简体" w:hAnsi="方正小标宋简体" w:eastAsia="方正小标宋简体" w:cs="方正小标宋简体"/>
          <w:b/>
          <w:sz w:val="44"/>
          <w:szCs w:val="44"/>
          <w:lang w:eastAsia="zh-CN"/>
        </w:rPr>
      </w:pPr>
    </w:p>
    <w:p>
      <w:pPr>
        <w:pStyle w:val="32"/>
        <w:spacing w:line="615" w:lineRule="exact"/>
        <w:jc w:val="center"/>
        <w:rPr>
          <w:rFonts w:ascii="方正小标宋简体" w:hAnsi="方正小标宋简体" w:eastAsia="方正小标宋简体" w:cs="方正小标宋简体"/>
          <w:b/>
          <w:sz w:val="44"/>
          <w:szCs w:val="44"/>
          <w:lang w:eastAsia="zh-CN"/>
        </w:rPr>
      </w:pPr>
    </w:p>
    <w:p>
      <w:pPr>
        <w:jc w:val="center"/>
        <w:rPr>
          <w:rFonts w:ascii="方正小标宋简体" w:hAnsi="方正小标宋简体" w:eastAsia="方正小标宋简体" w:cs="方正小标宋简体"/>
          <w:b/>
          <w:sz w:val="44"/>
          <w:szCs w:val="44"/>
          <w:lang w:eastAsia="zh-CN"/>
        </w:rPr>
      </w:pPr>
      <w:r>
        <w:rPr>
          <w:rFonts w:hint="eastAsia" w:ascii="方正小标宋简体" w:hAnsi="方正小标宋简体" w:eastAsia="方正小标宋简体" w:cs="方正小标宋简体"/>
          <w:b/>
          <w:sz w:val="44"/>
          <w:szCs w:val="44"/>
          <w:lang w:eastAsia="zh-CN"/>
        </w:rPr>
        <w:t>锅炉火检风源管改造发包项目</w:t>
      </w:r>
    </w:p>
    <w:p>
      <w:pPr>
        <w:pStyle w:val="32"/>
        <w:spacing w:line="615" w:lineRule="exact"/>
        <w:jc w:val="center"/>
        <w:rPr>
          <w:rFonts w:ascii="方正小标宋简体" w:hAnsi="方正小标宋简体" w:eastAsia="方正小标宋简体" w:cs="方正小标宋简体"/>
          <w:b/>
          <w:sz w:val="44"/>
          <w:szCs w:val="44"/>
          <w:lang w:eastAsia="zh-CN"/>
        </w:rPr>
      </w:pPr>
    </w:p>
    <w:p>
      <w:pPr>
        <w:pStyle w:val="32"/>
        <w:spacing w:line="615" w:lineRule="exact"/>
        <w:jc w:val="center"/>
        <w:rPr>
          <w:rFonts w:ascii="方正小标宋简体" w:hAnsi="方正小标宋简体" w:eastAsia="方正小标宋简体" w:cs="方正小标宋简体"/>
          <w:b/>
          <w:sz w:val="44"/>
          <w:szCs w:val="44"/>
          <w:lang w:eastAsia="zh-CN"/>
        </w:rPr>
      </w:pPr>
    </w:p>
    <w:p>
      <w:pPr>
        <w:pStyle w:val="32"/>
        <w:spacing w:line="615" w:lineRule="exact"/>
        <w:jc w:val="center"/>
        <w:rPr>
          <w:rFonts w:ascii="方正小标宋简体" w:hAnsi="方正小标宋简体" w:eastAsia="方正小标宋简体" w:cs="方正小标宋简体"/>
          <w:b/>
          <w:sz w:val="44"/>
          <w:szCs w:val="44"/>
          <w:lang w:eastAsia="zh-CN"/>
        </w:rPr>
      </w:pPr>
      <w:r>
        <w:rPr>
          <w:rFonts w:hint="eastAsia" w:ascii="方正小标宋简体" w:hAnsi="方正小标宋简体" w:eastAsia="方正小标宋简体" w:cs="方正小标宋简体"/>
          <w:b/>
          <w:sz w:val="44"/>
          <w:szCs w:val="44"/>
          <w:lang w:eastAsia="zh-CN"/>
        </w:rPr>
        <w:t>参选</w:t>
      </w:r>
      <w:r>
        <w:rPr>
          <w:rFonts w:ascii="方正小标宋简体" w:hAnsi="方正小标宋简体" w:eastAsia="方正小标宋简体" w:cs="方正小标宋简体"/>
          <w:b/>
          <w:sz w:val="44"/>
          <w:szCs w:val="44"/>
          <w:lang w:eastAsia="zh-CN"/>
        </w:rPr>
        <w:t>文件</w:t>
      </w:r>
    </w:p>
    <w:p>
      <w:pPr>
        <w:pStyle w:val="2"/>
      </w:pPr>
    </w:p>
    <w:p>
      <w:pPr>
        <w:pStyle w:val="32"/>
        <w:rPr>
          <w:rFonts w:ascii="Times New Roman" w:hAnsi="Times New Roman"/>
          <w:lang w:eastAsia="zh-CN"/>
        </w:rPr>
      </w:pPr>
    </w:p>
    <w:p>
      <w:pPr>
        <w:pStyle w:val="32"/>
        <w:rPr>
          <w:rFonts w:ascii="Times New Roman" w:hAnsi="Times New Roman"/>
          <w:lang w:eastAsia="zh-CN"/>
        </w:rPr>
      </w:pPr>
    </w:p>
    <w:p>
      <w:pPr>
        <w:pStyle w:val="32"/>
        <w:rPr>
          <w:rFonts w:ascii="Times New Roman" w:hAnsi="Times New Roman"/>
          <w:lang w:eastAsia="zh-CN"/>
        </w:rPr>
      </w:pPr>
    </w:p>
    <w:p>
      <w:pPr>
        <w:pStyle w:val="32"/>
        <w:rPr>
          <w:rFonts w:ascii="Times New Roman" w:hAnsi="Times New Roman"/>
          <w:lang w:eastAsia="zh-CN"/>
        </w:rPr>
      </w:pPr>
    </w:p>
    <w:p>
      <w:pPr>
        <w:pStyle w:val="32"/>
        <w:rPr>
          <w:rFonts w:ascii="Times New Roman" w:hAnsi="Times New Roman"/>
          <w:b/>
          <w:bCs/>
          <w:sz w:val="32"/>
          <w:szCs w:val="32"/>
          <w:lang w:eastAsia="zh-CN"/>
        </w:rPr>
      </w:pPr>
    </w:p>
    <w:p>
      <w:pPr>
        <w:pStyle w:val="32"/>
        <w:rPr>
          <w:rFonts w:ascii="Times New Roman" w:hAnsi="Times New Roman"/>
          <w:b/>
          <w:bCs/>
          <w:sz w:val="32"/>
          <w:szCs w:val="32"/>
          <w:lang w:eastAsia="zh-CN"/>
        </w:rPr>
      </w:pPr>
    </w:p>
    <w:p>
      <w:pPr>
        <w:pStyle w:val="32"/>
        <w:rPr>
          <w:rFonts w:ascii="Times New Roman" w:hAnsi="Times New Roman"/>
          <w:b/>
          <w:bCs/>
          <w:sz w:val="32"/>
          <w:szCs w:val="32"/>
          <w:lang w:eastAsia="zh-CN"/>
        </w:rPr>
      </w:pPr>
    </w:p>
    <w:p>
      <w:pPr>
        <w:pStyle w:val="32"/>
        <w:rPr>
          <w:rFonts w:ascii="Times New Roman" w:hAnsi="Times New Roman"/>
          <w:b/>
          <w:bCs/>
          <w:sz w:val="32"/>
          <w:szCs w:val="36"/>
          <w:lang w:eastAsia="zh-CN"/>
        </w:rPr>
      </w:pPr>
    </w:p>
    <w:p>
      <w:pPr>
        <w:pStyle w:val="32"/>
        <w:jc w:val="center"/>
        <w:rPr>
          <w:rFonts w:ascii="Times New Roman" w:hAnsi="Times New Roman"/>
          <w:b/>
          <w:bCs/>
          <w:sz w:val="32"/>
          <w:szCs w:val="32"/>
          <w:lang w:eastAsia="zh-CN"/>
        </w:rPr>
      </w:pPr>
      <w:r>
        <w:rPr>
          <w:rFonts w:hint="eastAsia" w:ascii="Times New Roman" w:hAnsi="Times New Roman"/>
          <w:b/>
          <w:bCs/>
          <w:w w:val="95"/>
          <w:sz w:val="32"/>
          <w:szCs w:val="32"/>
          <w:lang w:eastAsia="zh-CN"/>
        </w:rPr>
        <w:t>参选</w:t>
      </w:r>
      <w:r>
        <w:rPr>
          <w:rFonts w:ascii="Times New Roman" w:hAnsi="Times New Roman"/>
          <w:b/>
          <w:bCs/>
          <w:w w:val="95"/>
          <w:sz w:val="32"/>
          <w:szCs w:val="32"/>
          <w:lang w:eastAsia="zh-CN"/>
        </w:rPr>
        <w:t>人：</w:t>
      </w:r>
      <w:r>
        <w:rPr>
          <w:rFonts w:hint="eastAsia" w:ascii="Times New Roman" w:hAnsi="Times New Roman"/>
          <w:b/>
          <w:bCs/>
          <w:i/>
          <w:iCs/>
          <w:color w:val="C00000"/>
          <w:sz w:val="32"/>
          <w:szCs w:val="32"/>
          <w:lang w:eastAsia="zh-CN"/>
        </w:rPr>
        <w:t xml:space="preserve"> </w:t>
      </w:r>
      <w:r>
        <w:rPr>
          <w:rFonts w:hint="eastAsia" w:ascii="Times New Roman" w:hAnsi="Times New Roman"/>
          <w:b/>
          <w:bCs/>
          <w:i/>
          <w:iCs/>
          <w:color w:val="C00000"/>
          <w:sz w:val="32"/>
          <w:szCs w:val="32"/>
          <w:u w:val="single"/>
          <w:lang w:eastAsia="zh-CN"/>
        </w:rPr>
        <w:t>（打印时请取消下划线）</w:t>
      </w:r>
      <w:r>
        <w:rPr>
          <w:rFonts w:hint="eastAsia" w:ascii="Times New Roman" w:hAnsi="Times New Roman"/>
          <w:b/>
          <w:bCs/>
          <w:sz w:val="32"/>
          <w:szCs w:val="32"/>
          <w:lang w:eastAsia="zh-CN"/>
        </w:rPr>
        <w:t>有限公司</w:t>
      </w:r>
    </w:p>
    <w:p>
      <w:pPr>
        <w:pStyle w:val="32"/>
        <w:jc w:val="center"/>
        <w:rPr>
          <w:rFonts w:ascii="Times New Roman" w:hAnsi="Times New Roman"/>
          <w:b/>
          <w:bCs/>
          <w:w w:val="95"/>
          <w:sz w:val="32"/>
          <w:lang w:eastAsia="zh-CN"/>
        </w:rPr>
      </w:pPr>
      <w:r>
        <w:rPr>
          <w:rFonts w:hint="eastAsia" w:ascii="Times New Roman" w:hAnsi="Times New Roman"/>
          <w:b/>
          <w:bCs/>
          <w:w w:val="95"/>
          <w:sz w:val="32"/>
          <w:lang w:eastAsia="zh-CN"/>
        </w:rPr>
        <w:t xml:space="preserve"> </w:t>
      </w:r>
      <w:r>
        <w:rPr>
          <w:rFonts w:ascii="Times New Roman" w:hAnsi="Times New Roman"/>
          <w:b/>
          <w:bCs/>
          <w:w w:val="95"/>
          <w:sz w:val="32"/>
          <w:lang w:eastAsia="zh-CN"/>
        </w:rPr>
        <w:t xml:space="preserve"> 年  月</w:t>
      </w:r>
      <w:r>
        <w:rPr>
          <w:rFonts w:hint="eastAsia" w:ascii="Times New Roman" w:hAnsi="Times New Roman"/>
          <w:b/>
          <w:bCs/>
          <w:w w:val="95"/>
          <w:sz w:val="32"/>
          <w:lang w:eastAsia="zh-CN"/>
        </w:rPr>
        <w:t xml:space="preserve"> </w:t>
      </w:r>
      <w:r>
        <w:rPr>
          <w:rFonts w:ascii="Times New Roman" w:hAnsi="Times New Roman"/>
          <w:b/>
          <w:bCs/>
          <w:w w:val="95"/>
          <w:sz w:val="32"/>
          <w:lang w:eastAsia="zh-CN"/>
        </w:rPr>
        <w:t xml:space="preserve"> </w:t>
      </w:r>
      <w:r>
        <w:rPr>
          <w:rFonts w:hint="eastAsia" w:ascii="Times New Roman" w:hAnsi="Times New Roman"/>
          <w:b/>
          <w:bCs/>
          <w:w w:val="95"/>
          <w:sz w:val="32"/>
          <w:lang w:eastAsia="zh-CN"/>
        </w:rPr>
        <w:t>日</w:t>
      </w:r>
    </w:p>
    <w:p>
      <w:pPr>
        <w:rPr>
          <w:lang w:eastAsia="zh-CN"/>
        </w:rPr>
      </w:pPr>
    </w:p>
    <w:p>
      <w:pPr>
        <w:pStyle w:val="2"/>
      </w:pPr>
    </w:p>
    <w:p>
      <w:pPr>
        <w:pStyle w:val="2"/>
      </w:pPr>
    </w:p>
    <w:p>
      <w:pPr>
        <w:pStyle w:val="2"/>
      </w:pPr>
    </w:p>
    <w:p>
      <w:pPr>
        <w:widowControl/>
        <w:autoSpaceDE/>
        <w:autoSpaceDN/>
        <w:rPr>
          <w:b/>
          <w:i/>
          <w:iCs/>
          <w:color w:val="C00000"/>
          <w:sz w:val="44"/>
          <w:szCs w:val="44"/>
          <w:lang w:eastAsia="zh-CN"/>
        </w:rPr>
      </w:pPr>
      <w:r>
        <w:rPr>
          <w:b/>
          <w:i/>
          <w:iCs/>
          <w:color w:val="C00000"/>
          <w:sz w:val="44"/>
          <w:szCs w:val="44"/>
          <w:lang w:eastAsia="zh-CN"/>
        </w:rPr>
        <w:br w:type="page"/>
      </w:r>
    </w:p>
    <w:p>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pPr>
        <w:pStyle w:val="88"/>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1．参选人应按规定，向比选人递交参选文件，正本一份、副本一份，当正本与副本有不一致时，以正本为准。</w:t>
      </w:r>
    </w:p>
    <w:p>
      <w:pPr>
        <w:pStyle w:val="88"/>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2.所有纸质文件采用</w:t>
      </w:r>
      <w:r>
        <w:rPr>
          <w:rFonts w:cs="Times New Roman"/>
          <w:bCs w:val="0"/>
          <w:color w:val="C00000"/>
          <w:sz w:val="24"/>
          <w:szCs w:val="24"/>
          <w:lang w:eastAsia="zh-CN"/>
        </w:rPr>
        <w:t>A4</w:t>
      </w:r>
      <w:r>
        <w:rPr>
          <w:rFonts w:hint="eastAsia" w:cs="Times New Roman"/>
          <w:bCs w:val="0"/>
          <w:color w:val="C00000"/>
          <w:sz w:val="24"/>
          <w:szCs w:val="24"/>
          <w:lang w:eastAsia="zh-CN"/>
        </w:rPr>
        <w:t>纸胶装、平装。所有参选文件应增加统一外层包封。</w:t>
      </w:r>
    </w:p>
    <w:p>
      <w:pPr>
        <w:pStyle w:val="88"/>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3.提交参选文件时提供两个包装，</w:t>
      </w:r>
      <w:r>
        <w:rPr>
          <w:rFonts w:cs="Times New Roman"/>
          <w:bCs w:val="0"/>
          <w:color w:val="C00000"/>
          <w:sz w:val="24"/>
          <w:szCs w:val="24"/>
          <w:lang w:eastAsia="zh-CN"/>
        </w:rPr>
        <w:t>报价</w:t>
      </w:r>
      <w:r>
        <w:rPr>
          <w:rFonts w:hint="eastAsia" w:cs="Times New Roman"/>
          <w:bCs w:val="0"/>
          <w:color w:val="C00000"/>
          <w:sz w:val="24"/>
          <w:szCs w:val="24"/>
          <w:lang w:eastAsia="zh-CN"/>
        </w:rPr>
        <w:t>参选文件（报价单）一个包装、技术参选文件一个包装</w:t>
      </w:r>
      <w:r>
        <w:rPr>
          <w:rFonts w:cs="Times New Roman"/>
          <w:bCs w:val="0"/>
          <w:color w:val="C00000"/>
          <w:sz w:val="24"/>
          <w:szCs w:val="24"/>
          <w:lang w:eastAsia="zh-CN"/>
        </w:rPr>
        <w:t>,</w:t>
      </w:r>
      <w:r>
        <w:rPr>
          <w:rFonts w:hint="eastAsia" w:cs="Times New Roman"/>
          <w:bCs w:val="0"/>
          <w:color w:val="C00000"/>
          <w:sz w:val="24"/>
          <w:szCs w:val="24"/>
          <w:lang w:eastAsia="zh-CN"/>
        </w:rPr>
        <w:t>封口处均需加盖骑缝章。</w:t>
      </w:r>
      <w:r>
        <w:rPr>
          <w:rFonts w:cs="Times New Roman"/>
          <w:b/>
          <w:bCs w:val="0"/>
          <w:sz w:val="24"/>
          <w:szCs w:val="24"/>
          <w:lang w:eastAsia="zh-CN"/>
        </w:rPr>
        <w:t>报价</w:t>
      </w:r>
      <w:r>
        <w:rPr>
          <w:rFonts w:hint="eastAsia" w:cs="Times New Roman"/>
          <w:b/>
          <w:bCs w:val="0"/>
          <w:sz w:val="24"/>
          <w:szCs w:val="24"/>
          <w:lang w:eastAsia="zh-CN"/>
        </w:rPr>
        <w:t>参选文件和技术参选文件（盖章扫描后P</w:t>
      </w:r>
      <w:r>
        <w:rPr>
          <w:rFonts w:cs="Times New Roman"/>
          <w:b/>
          <w:bCs w:val="0"/>
          <w:sz w:val="24"/>
          <w:szCs w:val="24"/>
          <w:lang w:eastAsia="zh-CN"/>
        </w:rPr>
        <w:t>DF版本）</w:t>
      </w:r>
      <w:r>
        <w:rPr>
          <w:rFonts w:hint="eastAsia" w:cs="Times New Roman"/>
          <w:b/>
          <w:bCs w:val="0"/>
          <w:sz w:val="24"/>
          <w:szCs w:val="24"/>
          <w:lang w:eastAsia="zh-CN"/>
        </w:rPr>
        <w:t>电子拷贝一份（随</w:t>
      </w:r>
      <w:r>
        <w:rPr>
          <w:rFonts w:cs="Times New Roman"/>
          <w:b/>
          <w:bCs w:val="0"/>
          <w:sz w:val="24"/>
          <w:szCs w:val="24"/>
          <w:lang w:eastAsia="zh-CN"/>
        </w:rPr>
        <w:t>报价</w:t>
      </w:r>
      <w:r>
        <w:rPr>
          <w:rFonts w:hint="eastAsia" w:cs="Times New Roman"/>
          <w:b/>
          <w:bCs w:val="0"/>
          <w:sz w:val="24"/>
          <w:szCs w:val="24"/>
          <w:lang w:eastAsia="zh-CN"/>
        </w:rPr>
        <w:t>参选文件包装）</w:t>
      </w:r>
      <w:r>
        <w:rPr>
          <w:rFonts w:hint="eastAsia" w:cs="Times New Roman"/>
          <w:bCs w:val="0"/>
          <w:color w:val="C00000"/>
          <w:sz w:val="24"/>
          <w:szCs w:val="24"/>
          <w:lang w:eastAsia="zh-CN"/>
        </w:rPr>
        <w:t>。</w:t>
      </w:r>
    </w:p>
    <w:p>
      <w:pPr>
        <w:pStyle w:val="88"/>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4.凡因参选文件不按规定填写，或填写不清晰、不完整、或密封不合要求而引起的一切后果，由参选人自行负责。</w:t>
      </w:r>
    </w:p>
    <w:p>
      <w:pPr>
        <w:pStyle w:val="88"/>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5.参选文件正本必须逐页或骑缝加盖参选人公章或由法人代表或法人代表授权人逐页签字方视为有效，同时应注明提交日期，否则视为废标。</w:t>
      </w:r>
    </w:p>
    <w:p>
      <w:pPr>
        <w:pStyle w:val="88"/>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6.在外层包封上应写明参选人的名称与地址、邮政编码，以便参选出现逾期送达时能原封退回。具体样式如下：</w:t>
      </w:r>
    </w:p>
    <w:p>
      <w:pPr>
        <w:spacing w:line="360" w:lineRule="auto"/>
        <w:rPr>
          <w:szCs w:val="21"/>
          <w:lang w:eastAsia="zh-CN"/>
        </w:rPr>
      </w:pPr>
      <w:r>
        <w:rPr>
          <w:rFonts w:ascii="Calibri"/>
        </w:rPr>
        <w:pict>
          <v:shape id="文本框 2" o:spid="_x0000_s1028" o:spt="202" type="#_x0000_t202" style="position:absolute;left:0pt;margin-left:5.25pt;margin-top:0.5pt;height:147.2pt;width:363.2pt;z-index:25165926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path/>
            <v:fill focussize="0,0"/>
            <v:stroke joinstyle="miter"/>
            <v:imagedata o:title=""/>
            <o:lock v:ext="edit"/>
            <v:textbox>
              <w:txbxContent>
                <w:p>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
              </w:txbxContent>
            </v:textbox>
          </v:shape>
        </w:pict>
      </w:r>
    </w:p>
    <w:p>
      <w:pPr>
        <w:spacing w:line="360" w:lineRule="auto"/>
        <w:rPr>
          <w:szCs w:val="21"/>
          <w:lang w:eastAsia="zh-CN"/>
        </w:rPr>
      </w:pPr>
    </w:p>
    <w:p>
      <w:pPr>
        <w:spacing w:line="360" w:lineRule="auto"/>
        <w:rPr>
          <w:szCs w:val="21"/>
          <w:lang w:eastAsia="zh-CN"/>
        </w:rPr>
      </w:pPr>
    </w:p>
    <w:p>
      <w:pPr>
        <w:spacing w:line="360" w:lineRule="auto"/>
        <w:rPr>
          <w:szCs w:val="21"/>
          <w:lang w:eastAsia="zh-CN"/>
        </w:rPr>
      </w:pPr>
    </w:p>
    <w:p>
      <w:pPr>
        <w:spacing w:line="360" w:lineRule="auto"/>
        <w:rPr>
          <w:szCs w:val="21"/>
          <w:lang w:eastAsia="zh-CN"/>
        </w:rPr>
      </w:pPr>
    </w:p>
    <w:p>
      <w:pPr>
        <w:spacing w:line="360" w:lineRule="auto"/>
        <w:rPr>
          <w:szCs w:val="21"/>
          <w:lang w:eastAsia="zh-CN"/>
        </w:rPr>
      </w:pPr>
    </w:p>
    <w:p>
      <w:pPr>
        <w:spacing w:line="360" w:lineRule="auto"/>
        <w:rPr>
          <w:szCs w:val="21"/>
          <w:lang w:eastAsia="zh-CN"/>
        </w:rPr>
      </w:pPr>
    </w:p>
    <w:p>
      <w:pPr>
        <w:pStyle w:val="88"/>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7、以下文件中</w:t>
      </w:r>
      <w:r>
        <w:rPr>
          <w:rFonts w:hint="eastAsia" w:cs="Times New Roman"/>
          <w:b/>
          <w:color w:val="00B050"/>
          <w:sz w:val="24"/>
          <w:szCs w:val="24"/>
          <w:lang w:eastAsia="zh-CN"/>
        </w:rPr>
        <w:t>绿色</w:t>
      </w:r>
      <w:r>
        <w:rPr>
          <w:rFonts w:hint="eastAsia" w:cs="Times New Roman"/>
          <w:bCs w:val="0"/>
          <w:color w:val="C00000"/>
          <w:sz w:val="24"/>
          <w:szCs w:val="24"/>
          <w:lang w:eastAsia="zh-CN"/>
        </w:rPr>
        <w:t>字体部分，请各参选单位根据实际情况填写后，修改为</w:t>
      </w:r>
      <w:r>
        <w:rPr>
          <w:rFonts w:hint="eastAsia" w:cs="Times New Roman"/>
          <w:b/>
          <w:color w:val="C00000"/>
          <w:sz w:val="24"/>
          <w:szCs w:val="24"/>
          <w:lang w:eastAsia="zh-CN"/>
        </w:rPr>
        <w:t>黑色（不加粗）</w:t>
      </w:r>
      <w:r>
        <w:rPr>
          <w:rFonts w:hint="eastAsia" w:cs="Times New Roman"/>
          <w:bCs w:val="0"/>
          <w:color w:val="C00000"/>
          <w:sz w:val="24"/>
          <w:szCs w:val="24"/>
          <w:lang w:eastAsia="zh-CN"/>
        </w:rPr>
        <w:t>字体打印。目录页码请根据实际情况编写。</w:t>
      </w:r>
    </w:p>
    <w:p>
      <w:pPr>
        <w:pStyle w:val="88"/>
        <w:spacing w:beforeLines="0" w:afterLines="0"/>
        <w:ind w:firstLine="530" w:firstLineChars="221"/>
        <w:rPr>
          <w:szCs w:val="21"/>
          <w:lang w:eastAsia="zh-CN"/>
        </w:rPr>
      </w:pPr>
      <w:r>
        <w:rPr>
          <w:rFonts w:hint="eastAsia" w:cs="Times New Roman"/>
          <w:color w:val="C00000"/>
          <w:sz w:val="24"/>
          <w:szCs w:val="24"/>
          <w:lang w:eastAsia="zh-CN"/>
        </w:rPr>
        <w:t>8、以下文件中红色字体部分，打印时请删除。</w:t>
      </w:r>
    </w:p>
    <w:p>
      <w:pPr>
        <w:pStyle w:val="2"/>
      </w:pPr>
    </w:p>
    <w:p>
      <w:pPr>
        <w:pStyle w:val="2"/>
      </w:pPr>
    </w:p>
    <w:p>
      <w:pPr>
        <w:widowControl/>
        <w:autoSpaceDE/>
        <w:autoSpaceDN/>
        <w:rPr>
          <w:b/>
          <w:sz w:val="44"/>
          <w:szCs w:val="44"/>
          <w:lang w:eastAsia="zh-CN"/>
        </w:rPr>
      </w:pPr>
      <w:r>
        <w:rPr>
          <w:b/>
          <w:sz w:val="44"/>
          <w:szCs w:val="44"/>
          <w:lang w:eastAsia="zh-CN"/>
        </w:rPr>
        <w:br w:type="page"/>
      </w:r>
    </w:p>
    <w:p>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Style w:val="60"/>
        <w:tblW w:w="90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6282"/>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b/>
                <w:bCs/>
                <w:sz w:val="24"/>
              </w:rPr>
            </w:pPr>
            <w:r>
              <w:rPr>
                <w:rFonts w:hint="eastAsia"/>
                <w:b/>
                <w:bCs/>
                <w:sz w:val="24"/>
              </w:rPr>
              <w:t>序号</w:t>
            </w:r>
          </w:p>
        </w:tc>
        <w:tc>
          <w:tcPr>
            <w:tcW w:w="6282" w:type="dxa"/>
          </w:tcPr>
          <w:p>
            <w:pPr>
              <w:spacing w:line="500" w:lineRule="exact"/>
              <w:jc w:val="center"/>
              <w:rPr>
                <w:b/>
                <w:bCs/>
                <w:sz w:val="24"/>
              </w:rPr>
            </w:pPr>
            <w:r>
              <w:rPr>
                <w:rFonts w:hint="eastAsia"/>
                <w:b/>
                <w:bCs/>
                <w:sz w:val="24"/>
              </w:rPr>
              <w:t>内容</w:t>
            </w:r>
          </w:p>
        </w:tc>
        <w:tc>
          <w:tcPr>
            <w:tcW w:w="1843" w:type="dxa"/>
          </w:tcPr>
          <w:p>
            <w:pPr>
              <w:spacing w:line="500" w:lineRule="exact"/>
              <w:jc w:val="center"/>
              <w:rPr>
                <w:b/>
                <w:bCs/>
                <w:sz w:val="24"/>
              </w:rPr>
            </w:pPr>
            <w:r>
              <w:rPr>
                <w:rFonts w:hint="eastAsia"/>
                <w:b/>
                <w:bCs/>
                <w:sz w:val="24"/>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1</w:t>
            </w:r>
          </w:p>
        </w:tc>
        <w:tc>
          <w:tcPr>
            <w:tcW w:w="6282" w:type="dxa"/>
          </w:tcPr>
          <w:p>
            <w:pPr>
              <w:spacing w:line="500" w:lineRule="exact"/>
              <w:rPr>
                <w:lang w:eastAsia="zh-CN"/>
              </w:rPr>
            </w:pPr>
            <w:r>
              <w:rPr>
                <w:rFonts w:hint="eastAsia"/>
                <w:lang w:eastAsia="zh-CN"/>
              </w:rPr>
              <w:t>参选书</w:t>
            </w: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2</w:t>
            </w:r>
          </w:p>
        </w:tc>
        <w:tc>
          <w:tcPr>
            <w:tcW w:w="6282" w:type="dxa"/>
          </w:tcPr>
          <w:p>
            <w:pPr>
              <w:spacing w:line="500" w:lineRule="exact"/>
              <w:rPr>
                <w:lang w:eastAsia="zh-CN"/>
              </w:rPr>
            </w:pPr>
            <w:r>
              <w:rPr>
                <w:rFonts w:hint="eastAsia"/>
                <w:lang w:eastAsia="zh-CN"/>
              </w:rPr>
              <w:t>法定代表人授权书</w:t>
            </w: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3</w:t>
            </w:r>
          </w:p>
        </w:tc>
        <w:tc>
          <w:tcPr>
            <w:tcW w:w="6282" w:type="dxa"/>
          </w:tcPr>
          <w:p>
            <w:pPr>
              <w:spacing w:line="500" w:lineRule="exact"/>
              <w:rPr>
                <w:lang w:eastAsia="zh-CN"/>
              </w:rPr>
            </w:pPr>
            <w:r>
              <w:rPr>
                <w:rFonts w:hint="eastAsia"/>
                <w:lang w:eastAsia="zh-CN"/>
              </w:rPr>
              <w:t>法定代表人身份证复印件</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4</w:t>
            </w:r>
          </w:p>
        </w:tc>
        <w:tc>
          <w:tcPr>
            <w:tcW w:w="6282" w:type="dxa"/>
          </w:tcPr>
          <w:p>
            <w:pPr>
              <w:spacing w:line="500" w:lineRule="exact"/>
              <w:rPr>
                <w:lang w:eastAsia="zh-CN"/>
              </w:rPr>
            </w:pPr>
            <w:r>
              <w:rPr>
                <w:rFonts w:hint="eastAsia"/>
                <w:lang w:eastAsia="zh-CN"/>
              </w:rPr>
              <w:t>授权代表身份证复印件</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5</w:t>
            </w:r>
          </w:p>
        </w:tc>
        <w:tc>
          <w:tcPr>
            <w:tcW w:w="6282" w:type="dxa"/>
          </w:tcPr>
          <w:p>
            <w:pPr>
              <w:spacing w:line="500" w:lineRule="exact"/>
              <w:rPr>
                <w:lang w:eastAsia="zh-CN"/>
              </w:rPr>
            </w:pPr>
            <w:r>
              <w:rPr>
                <w:rFonts w:hint="eastAsia"/>
                <w:lang w:eastAsia="zh-CN"/>
              </w:rPr>
              <w:t>企业概况</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6</w:t>
            </w:r>
          </w:p>
        </w:tc>
        <w:tc>
          <w:tcPr>
            <w:tcW w:w="6282" w:type="dxa"/>
          </w:tcPr>
          <w:p>
            <w:pPr>
              <w:spacing w:line="500" w:lineRule="exact"/>
              <w:rPr>
                <w:lang w:eastAsia="zh-CN"/>
              </w:rPr>
            </w:pPr>
            <w:r>
              <w:rPr>
                <w:rFonts w:hint="eastAsia"/>
                <w:lang w:eastAsia="zh-CN"/>
              </w:rPr>
              <w:t>营业执照和开户许可证复印件及参选保证金缴款凭证</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7</w:t>
            </w:r>
          </w:p>
        </w:tc>
        <w:tc>
          <w:tcPr>
            <w:tcW w:w="6282" w:type="dxa"/>
          </w:tcPr>
          <w:p>
            <w:pPr>
              <w:spacing w:line="500" w:lineRule="exact"/>
              <w:rPr>
                <w:lang w:eastAsia="zh-CN"/>
              </w:rPr>
            </w:pPr>
            <w:r>
              <w:rPr>
                <w:lang w:eastAsia="zh-CN"/>
              </w:rPr>
              <w:t>相关资质要求</w:t>
            </w:r>
            <w:r>
              <w:rPr>
                <w:rFonts w:hint="eastAsia"/>
                <w:lang w:eastAsia="zh-CN"/>
              </w:rPr>
              <w:t>证明材料</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8</w:t>
            </w:r>
          </w:p>
        </w:tc>
        <w:tc>
          <w:tcPr>
            <w:tcW w:w="6282" w:type="dxa"/>
          </w:tcPr>
          <w:p>
            <w:pPr>
              <w:spacing w:line="500" w:lineRule="exact"/>
              <w:rPr>
                <w:lang w:eastAsia="zh-CN"/>
              </w:rPr>
            </w:pPr>
            <w:r>
              <w:rPr>
                <w:rFonts w:hint="eastAsia"/>
                <w:lang w:eastAsia="zh-CN"/>
              </w:rPr>
              <w:t>技术</w:t>
            </w:r>
            <w:r>
              <w:rPr>
                <w:lang w:eastAsia="zh-CN"/>
              </w:rPr>
              <w:t>偏离表（如无技术偏离需在表中明确备注无偏离）</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sz w:val="24"/>
                <w:lang w:eastAsia="zh-CN"/>
              </w:rPr>
              <w:t>9</w:t>
            </w:r>
          </w:p>
        </w:tc>
        <w:tc>
          <w:tcPr>
            <w:tcW w:w="6282" w:type="dxa"/>
          </w:tcPr>
          <w:p>
            <w:pPr>
              <w:spacing w:line="500" w:lineRule="exact"/>
              <w:rPr>
                <w:lang w:eastAsia="zh-CN"/>
              </w:rPr>
            </w:pPr>
            <w:r>
              <w:rPr>
                <w:rFonts w:hint="eastAsia"/>
                <w:lang w:eastAsia="zh-CN"/>
              </w:rPr>
              <w:t>其他相关资料（包含技术规范书中要求的相关资料）</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sz w:val="24"/>
                <w:lang w:eastAsia="zh-CN"/>
              </w:rPr>
              <w:t>10</w:t>
            </w:r>
          </w:p>
        </w:tc>
        <w:tc>
          <w:tcPr>
            <w:tcW w:w="6282" w:type="dxa"/>
          </w:tcPr>
          <w:p>
            <w:pPr>
              <w:spacing w:line="500" w:lineRule="exact"/>
              <w:rPr>
                <w:lang w:eastAsia="zh-CN"/>
              </w:rPr>
            </w:pPr>
            <w:r>
              <w:rPr>
                <w:rFonts w:hint="eastAsia"/>
                <w:lang w:eastAsia="zh-CN"/>
              </w:rPr>
              <w:t>承诺函</w:t>
            </w: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sz w:val="24"/>
                <w:lang w:eastAsia="zh-CN"/>
              </w:rPr>
              <w:t>11</w:t>
            </w:r>
          </w:p>
        </w:tc>
        <w:tc>
          <w:tcPr>
            <w:tcW w:w="6282" w:type="dxa"/>
          </w:tcPr>
          <w:p>
            <w:pPr>
              <w:spacing w:line="500" w:lineRule="exact"/>
              <w:rPr>
                <w:lang w:eastAsia="zh-CN"/>
              </w:rPr>
            </w:pPr>
            <w:r>
              <w:rPr>
                <w:rFonts w:hint="eastAsia"/>
                <w:lang w:eastAsia="zh-CN"/>
              </w:rPr>
              <w:t>参选报价单</w:t>
            </w:r>
          </w:p>
        </w:tc>
        <w:tc>
          <w:tcPr>
            <w:tcW w:w="1843" w:type="dxa"/>
          </w:tcPr>
          <w:p>
            <w:pPr>
              <w:spacing w:line="500" w:lineRule="exact"/>
              <w:jc w:val="center"/>
              <w:rPr>
                <w:sz w:val="24"/>
              </w:rPr>
            </w:pPr>
            <w:r>
              <w:rPr>
                <w:sz w:val="24"/>
              </w:rPr>
              <w:t>商务</w:t>
            </w:r>
            <w:r>
              <w:rPr>
                <w:rFonts w:hint="eastAsia"/>
                <w:sz w:val="24"/>
                <w:lang w:eastAsia="zh-CN"/>
              </w:rPr>
              <w:t>参选</w:t>
            </w:r>
            <w:r>
              <w:rPr>
                <w:sz w:val="24"/>
              </w:rPr>
              <w:t>文件</w:t>
            </w:r>
          </w:p>
        </w:tc>
      </w:tr>
    </w:tbl>
    <w:p>
      <w:pPr>
        <w:spacing w:line="500" w:lineRule="exact"/>
        <w:jc w:val="center"/>
        <w:rPr>
          <w:b/>
          <w:bCs/>
          <w:sz w:val="24"/>
        </w:rPr>
      </w:pPr>
    </w:p>
    <w:p>
      <w:pPr>
        <w:pStyle w:val="2"/>
        <w:rPr>
          <w:b/>
          <w:bCs/>
          <w:sz w:val="36"/>
          <w:szCs w:val="36"/>
        </w:rPr>
      </w:pPr>
    </w:p>
    <w:p>
      <w:pPr>
        <w:pStyle w:val="2"/>
        <w:rPr>
          <w:b/>
          <w:bCs/>
          <w:sz w:val="36"/>
          <w:szCs w:val="36"/>
        </w:rPr>
      </w:pPr>
    </w:p>
    <w:p>
      <w:pPr>
        <w:pStyle w:val="2"/>
        <w:rPr>
          <w:b/>
          <w:bCs/>
          <w:sz w:val="36"/>
          <w:szCs w:val="36"/>
        </w:rPr>
      </w:pPr>
    </w:p>
    <w:p>
      <w:pPr>
        <w:spacing w:line="500" w:lineRule="exact"/>
        <w:rPr>
          <w:b/>
          <w:bCs/>
          <w:sz w:val="36"/>
          <w:szCs w:val="36"/>
          <w:lang w:eastAsia="zh-CN"/>
        </w:rPr>
      </w:pPr>
    </w:p>
    <w:p>
      <w:pPr>
        <w:pStyle w:val="2"/>
        <w:rPr>
          <w:b/>
          <w:bCs/>
          <w:sz w:val="36"/>
          <w:szCs w:val="36"/>
        </w:rPr>
      </w:pPr>
    </w:p>
    <w:p>
      <w:pPr>
        <w:pStyle w:val="2"/>
        <w:rPr>
          <w:b/>
          <w:bCs/>
          <w:sz w:val="36"/>
          <w:szCs w:val="36"/>
        </w:rPr>
      </w:pPr>
    </w:p>
    <w:p>
      <w:pPr>
        <w:pStyle w:val="2"/>
      </w:pPr>
    </w:p>
    <w:p>
      <w:pPr>
        <w:pStyle w:val="2"/>
      </w:pPr>
    </w:p>
    <w:p>
      <w:pPr>
        <w:pStyle w:val="2"/>
      </w:pPr>
    </w:p>
    <w:p>
      <w:pPr>
        <w:widowControl/>
        <w:autoSpaceDE/>
        <w:autoSpaceDN/>
        <w:rPr>
          <w:b/>
          <w:bCs/>
          <w:sz w:val="36"/>
          <w:szCs w:val="36"/>
        </w:rPr>
      </w:pPr>
      <w:r>
        <w:rPr>
          <w:b/>
          <w:bCs/>
          <w:sz w:val="36"/>
          <w:szCs w:val="36"/>
        </w:rPr>
        <w:br w:type="page"/>
      </w:r>
    </w:p>
    <w:p>
      <w:pPr>
        <w:spacing w:line="500" w:lineRule="exact"/>
        <w:jc w:val="center"/>
        <w:rPr>
          <w:b/>
          <w:bCs/>
          <w:sz w:val="36"/>
          <w:szCs w:val="36"/>
        </w:rPr>
      </w:pPr>
      <w:r>
        <w:rPr>
          <w:rFonts w:hint="eastAsia"/>
          <w:b/>
          <w:bCs/>
          <w:sz w:val="36"/>
          <w:szCs w:val="36"/>
        </w:rPr>
        <w:t>参选书</w:t>
      </w: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 xml:space="preserve"> 根据贵方的比选文件， </w:t>
      </w:r>
      <w:r>
        <w:rPr>
          <w:rFonts w:hint="eastAsia" w:cs="Times New Roman"/>
          <w:color w:val="00B050"/>
          <w:sz w:val="28"/>
          <w:szCs w:val="28"/>
          <w:u w:val="single"/>
          <w:lang w:eastAsia="zh-CN"/>
        </w:rPr>
        <w:t>被授权代表人姓名</w:t>
      </w:r>
      <w:r>
        <w:rPr>
          <w:rFonts w:hint="eastAsia"/>
          <w:sz w:val="24"/>
          <w:lang w:eastAsia="zh-CN"/>
        </w:rPr>
        <w:t>被我方正式授权并代表我公司</w:t>
      </w:r>
      <w:r>
        <w:rPr>
          <w:rFonts w:hint="eastAsia" w:cs="Times New Roman"/>
          <w:color w:val="00B050"/>
          <w:sz w:val="28"/>
          <w:szCs w:val="28"/>
          <w:u w:val="single"/>
          <w:lang w:eastAsia="zh-CN"/>
        </w:rPr>
        <w:t>单位名称</w:t>
      </w:r>
      <w:r>
        <w:rPr>
          <w:rFonts w:hint="eastAsia"/>
          <w:sz w:val="24"/>
          <w:lang w:eastAsia="zh-CN"/>
        </w:rPr>
        <w:t>递交下述文件，并对此负责。</w:t>
      </w:r>
    </w:p>
    <w:p>
      <w:pPr>
        <w:spacing w:line="500" w:lineRule="exact"/>
        <w:ind w:firstLine="480" w:firstLineChars="200"/>
        <w:rPr>
          <w:sz w:val="24"/>
          <w:lang w:eastAsia="zh-CN"/>
        </w:rPr>
      </w:pPr>
      <w:r>
        <w:rPr>
          <w:rFonts w:hint="eastAsia"/>
          <w:sz w:val="24"/>
          <w:lang w:eastAsia="zh-CN"/>
        </w:rPr>
        <w:t>（1）参选文件</w:t>
      </w:r>
    </w:p>
    <w:p>
      <w:pPr>
        <w:spacing w:line="500" w:lineRule="exact"/>
        <w:ind w:firstLine="480" w:firstLineChars="200"/>
        <w:rPr>
          <w:sz w:val="24"/>
          <w:lang w:eastAsia="zh-CN"/>
        </w:rPr>
      </w:pPr>
      <w:r>
        <w:rPr>
          <w:rFonts w:hint="eastAsia"/>
          <w:sz w:val="24"/>
          <w:lang w:eastAsia="zh-CN"/>
        </w:rPr>
        <w:t>（2）法定代表人授权委托书</w:t>
      </w:r>
    </w:p>
    <w:p>
      <w:pPr>
        <w:spacing w:line="500" w:lineRule="exact"/>
        <w:ind w:firstLine="480" w:firstLineChars="200"/>
        <w:rPr>
          <w:sz w:val="24"/>
          <w:lang w:eastAsia="zh-CN"/>
        </w:rPr>
      </w:pPr>
      <w:r>
        <w:rPr>
          <w:rFonts w:hint="eastAsia"/>
          <w:sz w:val="24"/>
          <w:lang w:eastAsia="zh-CN"/>
        </w:rPr>
        <w:t>（3）参选报价单</w:t>
      </w:r>
    </w:p>
    <w:p>
      <w:pPr>
        <w:spacing w:line="500" w:lineRule="exact"/>
        <w:ind w:firstLine="480" w:firstLineChars="200"/>
        <w:rPr>
          <w:sz w:val="24"/>
          <w:lang w:eastAsia="zh-CN"/>
        </w:rPr>
      </w:pPr>
      <w:r>
        <w:rPr>
          <w:rFonts w:hint="eastAsia"/>
          <w:sz w:val="24"/>
          <w:lang w:eastAsia="zh-CN"/>
        </w:rPr>
        <w:t xml:space="preserve"> 据此参选书，我公司及签字代表宣布同意如下：</w:t>
      </w:r>
    </w:p>
    <w:p>
      <w:pPr>
        <w:spacing w:line="500" w:lineRule="exact"/>
        <w:rPr>
          <w:sz w:val="24"/>
          <w:lang w:eastAsia="zh-CN"/>
        </w:rPr>
      </w:pPr>
      <w:r>
        <w:rPr>
          <w:rFonts w:hint="eastAsia"/>
          <w:sz w:val="24"/>
          <w:lang w:eastAsia="zh-CN"/>
        </w:rPr>
        <w:t xml:space="preserve">     1、所递交的文件真实合法有效，且不存在任何虚假陈述或记载。</w:t>
      </w:r>
    </w:p>
    <w:p>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pPr>
        <w:spacing w:line="500" w:lineRule="exact"/>
        <w:ind w:firstLine="480" w:firstLineChars="200"/>
        <w:rPr>
          <w:sz w:val="24"/>
          <w:lang w:eastAsia="zh-CN"/>
        </w:rPr>
      </w:pPr>
    </w:p>
    <w:p>
      <w:pPr>
        <w:spacing w:line="500" w:lineRule="exact"/>
        <w:ind w:firstLine="480" w:firstLineChars="200"/>
        <w:rPr>
          <w:sz w:val="24"/>
          <w:lang w:eastAsia="zh-CN"/>
        </w:rPr>
      </w:pPr>
    </w:p>
    <w:p>
      <w:pPr>
        <w:spacing w:line="500" w:lineRule="exact"/>
        <w:ind w:firstLine="480" w:firstLineChars="200"/>
        <w:rPr>
          <w:sz w:val="24"/>
          <w:lang w:eastAsia="zh-CN"/>
        </w:rPr>
      </w:pPr>
      <w:r>
        <w:rPr>
          <w:rFonts w:hint="eastAsia"/>
          <w:sz w:val="24"/>
          <w:lang w:eastAsia="zh-CN"/>
        </w:rPr>
        <w:t>被授权代表姓名：</w:t>
      </w:r>
    </w:p>
    <w:p>
      <w:pPr>
        <w:spacing w:line="500" w:lineRule="exact"/>
        <w:ind w:firstLine="480" w:firstLineChars="200"/>
        <w:rPr>
          <w:sz w:val="24"/>
          <w:lang w:eastAsia="zh-CN"/>
        </w:rPr>
      </w:pPr>
      <w:r>
        <w:rPr>
          <w:rFonts w:hint="eastAsia"/>
          <w:sz w:val="24"/>
          <w:lang w:eastAsia="zh-CN"/>
        </w:rPr>
        <w:t>职          务：</w:t>
      </w:r>
    </w:p>
    <w:p>
      <w:pPr>
        <w:spacing w:line="500" w:lineRule="exact"/>
        <w:ind w:firstLine="480" w:firstLineChars="200"/>
        <w:rPr>
          <w:sz w:val="24"/>
          <w:lang w:eastAsia="zh-CN"/>
        </w:rPr>
      </w:pPr>
      <w:r>
        <w:rPr>
          <w:rFonts w:hint="eastAsia"/>
          <w:sz w:val="24"/>
          <w:lang w:eastAsia="zh-CN"/>
        </w:rPr>
        <w:t>联系电话及邮箱：</w:t>
      </w:r>
    </w:p>
    <w:p>
      <w:pPr>
        <w:spacing w:line="500" w:lineRule="exact"/>
        <w:ind w:firstLine="480" w:firstLineChars="200"/>
        <w:rPr>
          <w:sz w:val="24"/>
          <w:lang w:eastAsia="zh-CN"/>
        </w:rPr>
      </w:pPr>
      <w:r>
        <w:rPr>
          <w:rFonts w:hint="eastAsia"/>
          <w:sz w:val="24"/>
          <w:lang w:eastAsia="zh-CN"/>
        </w:rPr>
        <w:t>被授权代表签字：</w:t>
      </w:r>
    </w:p>
    <w:p>
      <w:pPr>
        <w:pStyle w:val="2"/>
      </w:pPr>
    </w:p>
    <w:p>
      <w:pPr>
        <w:pStyle w:val="2"/>
        <w:jc w:val="center"/>
        <w:rPr>
          <w:rFonts w:ascii="Times New Roman" w:hAnsi="Times New Roman"/>
          <w:kern w:val="2"/>
          <w:sz w:val="24"/>
          <w:szCs w:val="24"/>
        </w:rPr>
      </w:pPr>
      <w:r>
        <w:rPr>
          <w:rFonts w:hint="eastAsia" w:ascii="Times New Roman" w:hAnsi="Times New Roman"/>
          <w:kern w:val="2"/>
          <w:sz w:val="24"/>
          <w:szCs w:val="24"/>
        </w:rPr>
        <w:t xml:space="preserve">                     </w:t>
      </w:r>
      <w:r>
        <w:rPr>
          <w:rFonts w:ascii="Times New Roman" w:hAnsi="Times New Roman"/>
          <w:kern w:val="2"/>
          <w:sz w:val="24"/>
          <w:szCs w:val="24"/>
        </w:rPr>
        <w:t xml:space="preserve">                </w:t>
      </w:r>
      <w:r>
        <w:rPr>
          <w:rFonts w:hint="eastAsia" w:ascii="Times New Roman" w:hAnsi="Times New Roman"/>
          <w:kern w:val="2"/>
          <w:sz w:val="24"/>
          <w:szCs w:val="24"/>
        </w:rPr>
        <w:t>参  选  人：</w:t>
      </w:r>
      <w:r>
        <w:rPr>
          <w:rFonts w:hint="eastAsia" w:hAnsi="宋体"/>
          <w:color w:val="00B050"/>
          <w:kern w:val="2"/>
          <w:sz w:val="28"/>
          <w:szCs w:val="28"/>
        </w:rPr>
        <w:t>（单位名称）</w:t>
      </w:r>
    </w:p>
    <w:p>
      <w:pPr>
        <w:pStyle w:val="2"/>
        <w:ind w:firstLine="420"/>
        <w:jc w:val="center"/>
        <w:rPr>
          <w:rFonts w:ascii="Times New Roman" w:hAnsi="Times New Roman"/>
          <w:kern w:val="2"/>
          <w:sz w:val="24"/>
          <w:szCs w:val="24"/>
        </w:rPr>
      </w:pPr>
      <w:r>
        <w:rPr>
          <w:rFonts w:hint="eastAsia" w:ascii="Times New Roman" w:hAnsi="Times New Roman"/>
          <w:kern w:val="2"/>
          <w:sz w:val="24"/>
          <w:szCs w:val="24"/>
        </w:rPr>
        <w:t xml:space="preserve">       法定代表人：</w:t>
      </w:r>
    </w:p>
    <w:p>
      <w:pPr>
        <w:pStyle w:val="2"/>
        <w:jc w:val="center"/>
      </w:pPr>
    </w:p>
    <w:p>
      <w:pPr>
        <w:pStyle w:val="2"/>
        <w:jc w:val="center"/>
      </w:pPr>
    </w:p>
    <w:p>
      <w:pPr>
        <w:pStyle w:val="2"/>
        <w:jc w:val="center"/>
      </w:pPr>
    </w:p>
    <w:p>
      <w:pPr>
        <w:pStyle w:val="2"/>
        <w:jc w:val="center"/>
      </w:pPr>
    </w:p>
    <w:p>
      <w:pPr>
        <w:pStyle w:val="2"/>
        <w:jc w:val="center"/>
      </w:pPr>
    </w:p>
    <w:p>
      <w:pPr>
        <w:spacing w:line="500" w:lineRule="exact"/>
        <w:jc w:val="both"/>
        <w:rPr>
          <w:b/>
          <w:bCs/>
          <w:sz w:val="36"/>
          <w:szCs w:val="36"/>
          <w:lang w:eastAsia="zh-CN"/>
        </w:rPr>
      </w:pPr>
    </w:p>
    <w:p>
      <w:pPr>
        <w:spacing w:line="500" w:lineRule="exact"/>
        <w:jc w:val="center"/>
        <w:rPr>
          <w:b/>
          <w:bCs/>
          <w:sz w:val="36"/>
          <w:szCs w:val="36"/>
          <w:lang w:eastAsia="zh-CN"/>
        </w:rPr>
      </w:pPr>
      <w:r>
        <w:rPr>
          <w:rFonts w:hint="eastAsia"/>
          <w:b/>
          <w:bCs/>
          <w:sz w:val="36"/>
          <w:szCs w:val="36"/>
          <w:lang w:eastAsia="zh-CN"/>
        </w:rPr>
        <w:t>法定代表人授权书</w:t>
      </w:r>
    </w:p>
    <w:p>
      <w:pPr>
        <w:pStyle w:val="2"/>
        <w:jc w:val="center"/>
      </w:pPr>
    </w:p>
    <w:p>
      <w:pPr>
        <w:spacing w:line="500" w:lineRule="exact"/>
        <w:ind w:firstLine="480" w:firstLineChars="200"/>
        <w:rPr>
          <w:sz w:val="24"/>
          <w:lang w:eastAsia="zh-CN"/>
        </w:rPr>
      </w:pPr>
      <w:r>
        <w:rPr>
          <w:rFonts w:hint="eastAsia"/>
          <w:sz w:val="24"/>
          <w:lang w:eastAsia="zh-CN"/>
        </w:rPr>
        <w:t>本授权书声明：注册于</w:t>
      </w:r>
      <w:r>
        <w:rPr>
          <w:rFonts w:hint="eastAsia" w:cs="Times New Roman"/>
          <w:color w:val="00B050"/>
          <w:sz w:val="28"/>
          <w:szCs w:val="28"/>
          <w:u w:val="single"/>
          <w:lang w:eastAsia="zh-CN"/>
        </w:rPr>
        <w:t>注册地址</w:t>
      </w:r>
      <w:r>
        <w:rPr>
          <w:rFonts w:hint="eastAsia"/>
          <w:sz w:val="24"/>
          <w:lang w:eastAsia="zh-CN"/>
        </w:rPr>
        <w:t>的</w:t>
      </w:r>
      <w:r>
        <w:rPr>
          <w:rFonts w:hint="eastAsia" w:cs="Times New Roman"/>
          <w:color w:val="00B050"/>
          <w:sz w:val="28"/>
          <w:szCs w:val="28"/>
          <w:u w:val="single"/>
          <w:lang w:eastAsia="zh-CN"/>
        </w:rPr>
        <w:t>公司名称</w:t>
      </w:r>
      <w:r>
        <w:rPr>
          <w:rFonts w:hint="eastAsia"/>
          <w:sz w:val="24"/>
          <w:lang w:eastAsia="zh-CN"/>
        </w:rPr>
        <w:t>的在下方签字（或签章）的</w:t>
      </w:r>
      <w:r>
        <w:rPr>
          <w:rFonts w:hint="eastAsia" w:cs="Times New Roman"/>
          <w:color w:val="00B050"/>
          <w:sz w:val="28"/>
          <w:szCs w:val="28"/>
          <w:u w:val="single"/>
          <w:lang w:eastAsia="zh-CN"/>
        </w:rPr>
        <w:t>法人代表姓名</w:t>
      </w:r>
      <w:r>
        <w:rPr>
          <w:rFonts w:hint="eastAsia"/>
          <w:sz w:val="24"/>
          <w:lang w:eastAsia="zh-CN"/>
        </w:rPr>
        <w:t>代表本公司授权</w:t>
      </w:r>
      <w:r>
        <w:rPr>
          <w:rFonts w:hint="eastAsia" w:cs="Times New Roman"/>
          <w:color w:val="00B050"/>
          <w:sz w:val="28"/>
          <w:szCs w:val="28"/>
          <w:u w:val="single"/>
          <w:lang w:eastAsia="zh-CN"/>
        </w:rPr>
        <w:t>被授权代表人姓名、职务</w:t>
      </w:r>
      <w:r>
        <w:rPr>
          <w:rFonts w:hint="eastAsia"/>
          <w:sz w:val="24"/>
          <w:lang w:eastAsia="zh-CN"/>
        </w:rPr>
        <w:t xml:space="preserve">为本公司的合法代理人，就福建福海创石油化工有限公司 </w:t>
      </w:r>
      <w:r>
        <w:rPr>
          <w:b/>
          <w:sz w:val="24"/>
          <w:u w:val="single"/>
          <w:lang w:eastAsia="zh-CN"/>
        </w:rPr>
        <w:t xml:space="preserve"> </w:t>
      </w:r>
      <w:r>
        <w:rPr>
          <w:rFonts w:hint="eastAsia"/>
          <w:b/>
          <w:sz w:val="24"/>
          <w:u w:val="single"/>
          <w:lang w:eastAsia="zh-CN"/>
        </w:rPr>
        <w:t>锅炉火检风源管改造发包项目</w:t>
      </w:r>
      <w:r>
        <w:rPr>
          <w:b/>
          <w:sz w:val="24"/>
          <w:u w:val="single"/>
          <w:lang w:eastAsia="zh-CN"/>
        </w:rPr>
        <w:t xml:space="preserve"> </w:t>
      </w:r>
      <w:r>
        <w:rPr>
          <w:sz w:val="24"/>
          <w:u w:val="single"/>
          <w:lang w:eastAsia="zh-CN"/>
        </w:rPr>
        <w:t xml:space="preserve"> </w:t>
      </w:r>
      <w:r>
        <w:rPr>
          <w:rFonts w:hint="eastAsia"/>
          <w:sz w:val="24"/>
          <w:lang w:eastAsia="zh-CN"/>
        </w:rPr>
        <w:t>公开自主比选，以本公司名义参与报价、合同执行并处理与之有关的其他事务，相关责任及后果由本公司承担。</w:t>
      </w:r>
    </w:p>
    <w:p>
      <w:pPr>
        <w:spacing w:line="500" w:lineRule="exact"/>
        <w:ind w:firstLine="480" w:firstLineChars="200"/>
        <w:rPr>
          <w:sz w:val="24"/>
          <w:lang w:eastAsia="zh-CN"/>
        </w:rPr>
      </w:pPr>
      <w:r>
        <w:rPr>
          <w:rFonts w:hint="eastAsia"/>
          <w:sz w:val="24"/>
          <w:lang w:eastAsia="zh-CN"/>
        </w:rPr>
        <w:t>本授权书于</w:t>
      </w:r>
      <w:r>
        <w:rPr>
          <w:rFonts w:hint="eastAsia" w:cs="Times New Roman"/>
          <w:color w:val="00B050"/>
          <w:sz w:val="28"/>
          <w:szCs w:val="28"/>
          <w:u w:val="single"/>
          <w:lang w:eastAsia="zh-CN"/>
        </w:rPr>
        <w:t>20</w:t>
      </w:r>
      <w:r>
        <w:rPr>
          <w:rFonts w:cs="Times New Roman"/>
          <w:color w:val="00B050"/>
          <w:sz w:val="28"/>
          <w:szCs w:val="28"/>
          <w:u w:val="single"/>
          <w:lang w:eastAsia="zh-CN"/>
        </w:rPr>
        <w:t>20</w:t>
      </w:r>
      <w:r>
        <w:rPr>
          <w:rFonts w:hint="eastAsia" w:cs="Times New Roman"/>
          <w:color w:val="00B050"/>
          <w:sz w:val="28"/>
          <w:szCs w:val="28"/>
          <w:u w:val="single"/>
          <w:lang w:eastAsia="zh-CN"/>
        </w:rPr>
        <w:t>年</w:t>
      </w:r>
      <w:r>
        <w:rPr>
          <w:rFonts w:cs="Times New Roman"/>
          <w:color w:val="00B050"/>
          <w:sz w:val="28"/>
          <w:szCs w:val="28"/>
          <w:u w:val="single"/>
          <w:lang w:eastAsia="zh-CN"/>
        </w:rPr>
        <w:t xml:space="preserve">  </w:t>
      </w:r>
      <w:r>
        <w:rPr>
          <w:rFonts w:hint="eastAsia" w:cs="Times New Roman"/>
          <w:color w:val="00B050"/>
          <w:sz w:val="28"/>
          <w:szCs w:val="28"/>
          <w:u w:val="single"/>
          <w:lang w:eastAsia="zh-CN"/>
        </w:rPr>
        <w:t>月   日</w:t>
      </w:r>
      <w:r>
        <w:rPr>
          <w:rFonts w:hint="eastAsia"/>
          <w:sz w:val="24"/>
          <w:lang w:eastAsia="zh-CN"/>
        </w:rPr>
        <w:t>生效，本授权书有效期至此次报价，以及合同履行完毕时止。</w:t>
      </w:r>
    </w:p>
    <w:p>
      <w:pPr>
        <w:spacing w:line="500" w:lineRule="exact"/>
        <w:ind w:firstLine="480" w:firstLineChars="200"/>
        <w:rPr>
          <w:sz w:val="24"/>
          <w:lang w:eastAsia="zh-CN"/>
        </w:rPr>
      </w:pPr>
      <w:r>
        <w:rPr>
          <w:rFonts w:hint="eastAsia"/>
          <w:sz w:val="24"/>
          <w:lang w:eastAsia="zh-CN"/>
        </w:rPr>
        <w:t>特此声明。</w:t>
      </w:r>
    </w:p>
    <w:p>
      <w:pPr>
        <w:pStyle w:val="2"/>
      </w:pPr>
    </w:p>
    <w:p>
      <w:pPr>
        <w:spacing w:line="500" w:lineRule="exact"/>
        <w:rPr>
          <w:sz w:val="24"/>
          <w:lang w:eastAsia="zh-CN"/>
        </w:rPr>
      </w:pPr>
      <w:r>
        <w:rPr>
          <w:rFonts w:hint="eastAsia"/>
          <w:sz w:val="24"/>
          <w:lang w:eastAsia="zh-CN"/>
        </w:rPr>
        <w:t xml:space="preserve">    法人代表（签字）：</w:t>
      </w:r>
    </w:p>
    <w:p>
      <w:pPr>
        <w:spacing w:line="500" w:lineRule="exact"/>
        <w:rPr>
          <w:sz w:val="24"/>
          <w:lang w:eastAsia="zh-CN"/>
        </w:rPr>
      </w:pPr>
    </w:p>
    <w:p>
      <w:pPr>
        <w:spacing w:line="500" w:lineRule="exact"/>
        <w:rPr>
          <w:sz w:val="24"/>
          <w:lang w:eastAsia="zh-CN"/>
        </w:rPr>
      </w:pPr>
      <w:r>
        <w:rPr>
          <w:rFonts w:hint="eastAsia"/>
          <w:sz w:val="24"/>
          <w:lang w:eastAsia="zh-CN"/>
        </w:rPr>
        <w:t xml:space="preserve">    被授权代表签字：</w:t>
      </w:r>
    </w:p>
    <w:p>
      <w:pPr>
        <w:spacing w:line="500" w:lineRule="exact"/>
        <w:rPr>
          <w:sz w:val="24"/>
          <w:lang w:eastAsia="zh-CN"/>
        </w:rPr>
      </w:pPr>
    </w:p>
    <w:p>
      <w:pPr>
        <w:pStyle w:val="2"/>
      </w:pPr>
    </w:p>
    <w:p>
      <w:pPr>
        <w:pStyle w:val="2"/>
      </w:pPr>
    </w:p>
    <w:p>
      <w:pPr>
        <w:pStyle w:val="2"/>
      </w:pPr>
    </w:p>
    <w:p>
      <w:pPr>
        <w:pStyle w:val="2"/>
      </w:pPr>
    </w:p>
    <w:p>
      <w:pPr>
        <w:pStyle w:val="2"/>
        <w:jc w:val="center"/>
        <w:rPr>
          <w:color w:val="4E6127"/>
        </w:rPr>
      </w:pPr>
      <w:r>
        <w:rPr>
          <w:rFonts w:hint="eastAsia"/>
          <w:sz w:val="24"/>
          <w:szCs w:val="24"/>
        </w:rPr>
        <w:t xml:space="preserve">               单位名称：</w:t>
      </w:r>
      <w:r>
        <w:rPr>
          <w:rFonts w:hint="eastAsia" w:hAnsi="宋体"/>
          <w:color w:val="00B050"/>
          <w:kern w:val="2"/>
          <w:sz w:val="28"/>
          <w:szCs w:val="28"/>
        </w:rPr>
        <w:t>（公章）</w:t>
      </w:r>
    </w:p>
    <w:p>
      <w:pPr>
        <w:pStyle w:val="2"/>
        <w:jc w:val="center"/>
        <w:rPr>
          <w:color w:val="4E6127"/>
        </w:rPr>
      </w:pPr>
    </w:p>
    <w:p>
      <w:pPr>
        <w:pStyle w:val="2"/>
        <w:jc w:val="center"/>
      </w:pPr>
    </w:p>
    <w:p>
      <w:pPr>
        <w:pStyle w:val="2"/>
        <w:jc w:val="center"/>
      </w:pPr>
    </w:p>
    <w:p>
      <w:pPr>
        <w:pStyle w:val="2"/>
        <w:jc w:val="center"/>
      </w:pPr>
    </w:p>
    <w:p>
      <w:pPr>
        <w:widowControl/>
        <w:autoSpaceDE/>
        <w:autoSpaceDN/>
        <w:rPr>
          <w:rFonts w:hAnsi="Calibri" w:cs="Times New Roman"/>
          <w:sz w:val="34"/>
          <w:lang w:eastAsia="zh-CN"/>
        </w:rPr>
      </w:pPr>
      <w:r>
        <w:rPr>
          <w:lang w:eastAsia="zh-CN"/>
        </w:rPr>
        <w:br w:type="page"/>
      </w:r>
    </w:p>
    <w:p>
      <w:pPr>
        <w:pStyle w:val="2"/>
        <w:jc w:val="center"/>
      </w:pPr>
    </w:p>
    <w:p>
      <w:pPr>
        <w:spacing w:line="500" w:lineRule="exact"/>
        <w:jc w:val="center"/>
        <w:rPr>
          <w:rFonts w:ascii="Times New Roman" w:hAnsi="Times New Roman" w:cs="Times New Roman"/>
          <w:b/>
          <w:bCs/>
          <w:sz w:val="36"/>
          <w:szCs w:val="36"/>
          <w:lang w:eastAsia="zh-CN"/>
        </w:rPr>
      </w:pPr>
      <w:r>
        <w:rPr>
          <w:rFonts w:hint="eastAsia" w:ascii="Times New Roman" w:hAnsi="Times New Roman" w:cs="Times New Roman"/>
          <w:b/>
          <w:bCs/>
          <w:sz w:val="36"/>
          <w:szCs w:val="36"/>
          <w:lang w:eastAsia="zh-CN"/>
        </w:rPr>
        <w:t>法定代表人身份证复印件</w:t>
      </w:r>
    </w:p>
    <w:p>
      <w:pPr>
        <w:spacing w:line="500" w:lineRule="exact"/>
        <w:jc w:val="center"/>
        <w:rPr>
          <w:b/>
          <w:bCs/>
          <w:color w:val="4E6127"/>
          <w:sz w:val="36"/>
          <w:szCs w:val="36"/>
          <w:lang w:eastAsia="zh-CN"/>
        </w:rPr>
      </w:pPr>
    </w:p>
    <w:p>
      <w:pPr>
        <w:pStyle w:val="2"/>
        <w:jc w:val="center"/>
        <w:rPr>
          <w:b/>
          <w:bCs/>
          <w:color w:val="4E6127"/>
          <w:sz w:val="36"/>
          <w:szCs w:val="36"/>
        </w:rPr>
      </w:pPr>
    </w:p>
    <w:p>
      <w:pPr>
        <w:pStyle w:val="88"/>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被授权代表人身份证复印件</w:t>
      </w:r>
    </w:p>
    <w:p>
      <w:pPr>
        <w:pStyle w:val="2"/>
        <w:jc w:val="center"/>
        <w:rPr>
          <w:b/>
          <w:bCs/>
          <w:sz w:val="36"/>
          <w:szCs w:val="36"/>
        </w:rPr>
      </w:pPr>
    </w:p>
    <w:p>
      <w:pPr>
        <w:pStyle w:val="88"/>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企业概况</w:t>
      </w:r>
    </w:p>
    <w:p>
      <w:pPr>
        <w:pStyle w:val="88"/>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（如内容超过一页，可附页）</w:t>
      </w:r>
    </w:p>
    <w:p>
      <w:pPr>
        <w:pStyle w:val="2"/>
        <w:jc w:val="center"/>
        <w:rPr>
          <w:rFonts w:ascii="Times New Roman" w:hAnsi="Times New Roman"/>
          <w:b/>
          <w:bCs/>
          <w:sz w:val="36"/>
          <w:szCs w:val="36"/>
        </w:rPr>
      </w:pPr>
    </w:p>
    <w:p>
      <w:pPr>
        <w:pStyle w:val="2"/>
        <w:jc w:val="center"/>
        <w:rPr>
          <w:rFonts w:ascii="Times New Roman" w:hAnsi="Times New Roman"/>
          <w:b/>
          <w:bCs/>
          <w:sz w:val="36"/>
          <w:szCs w:val="36"/>
        </w:rPr>
      </w:pPr>
      <w:r>
        <w:rPr>
          <w:rFonts w:hint="eastAsia" w:ascii="Times New Roman" w:hAnsi="Times New Roman"/>
          <w:b/>
          <w:bCs/>
          <w:sz w:val="36"/>
          <w:szCs w:val="36"/>
        </w:rPr>
        <w:t>营业执照和开户许可证复印件及参选保证金缴款凭证</w:t>
      </w:r>
    </w:p>
    <w:p>
      <w:pPr>
        <w:pStyle w:val="2"/>
        <w:jc w:val="center"/>
        <w:rPr>
          <w:rFonts w:ascii="Times New Roman" w:hAnsi="Times New Roman"/>
          <w:b/>
          <w:bCs/>
          <w:sz w:val="36"/>
          <w:szCs w:val="36"/>
        </w:rPr>
      </w:pPr>
    </w:p>
    <w:p>
      <w:pPr>
        <w:pStyle w:val="2"/>
        <w:jc w:val="center"/>
        <w:rPr>
          <w:rFonts w:ascii="Times New Roman" w:hAnsi="Times New Roman"/>
          <w:b/>
          <w:bCs/>
          <w:sz w:val="36"/>
          <w:szCs w:val="36"/>
        </w:rPr>
      </w:pPr>
      <w:r>
        <w:rPr>
          <w:rFonts w:ascii="Times New Roman" w:hAnsi="Times New Roman"/>
          <w:b/>
          <w:bCs/>
          <w:sz w:val="36"/>
          <w:szCs w:val="36"/>
        </w:rPr>
        <w:t>相关资质要求</w:t>
      </w:r>
      <w:r>
        <w:rPr>
          <w:rFonts w:hint="eastAsia" w:ascii="Times New Roman" w:hAnsi="Times New Roman"/>
          <w:b/>
          <w:bCs/>
          <w:sz w:val="36"/>
          <w:szCs w:val="36"/>
        </w:rPr>
        <w:t>证明材料（包含业绩证明材料）</w:t>
      </w:r>
    </w:p>
    <w:p>
      <w:pPr>
        <w:pStyle w:val="2"/>
        <w:jc w:val="center"/>
        <w:rPr>
          <w:rFonts w:ascii="Times New Roman" w:hAnsi="Times New Roman"/>
          <w:b/>
          <w:sz w:val="36"/>
          <w:szCs w:val="36"/>
        </w:rPr>
      </w:pPr>
    </w:p>
    <w:p>
      <w:pPr>
        <w:pStyle w:val="2"/>
        <w:jc w:val="center"/>
        <w:rPr>
          <w:rFonts w:ascii="Times New Roman" w:hAnsi="Times New Roman"/>
          <w:b/>
          <w:bCs/>
          <w:sz w:val="36"/>
          <w:szCs w:val="36"/>
        </w:rPr>
      </w:pPr>
      <w:r>
        <w:rPr>
          <w:rFonts w:hint="eastAsia" w:ascii="Times New Roman" w:hAnsi="Times New Roman"/>
          <w:b/>
          <w:bCs/>
          <w:sz w:val="36"/>
          <w:szCs w:val="36"/>
        </w:rPr>
        <w:t>技术偏离表（如无技术偏离需在表中明确备注无偏离）</w:t>
      </w:r>
    </w:p>
    <w:p>
      <w:pPr>
        <w:widowControl/>
        <w:autoSpaceDE/>
        <w:autoSpaceDN/>
        <w:rPr>
          <w:rFonts w:ascii="Times New Roman" w:hAnsi="Times New Roman" w:cs="Times New Roman"/>
          <w:b/>
          <w:bCs/>
          <w:sz w:val="36"/>
          <w:szCs w:val="36"/>
          <w:lang w:eastAsia="zh-CN"/>
        </w:rPr>
      </w:pPr>
    </w:p>
    <w:p>
      <w:pPr>
        <w:widowControl/>
        <w:autoSpaceDE/>
        <w:autoSpaceDN/>
        <w:ind w:firstLine="723" w:firstLineChars="200"/>
        <w:rPr>
          <w:rFonts w:ascii="Times New Roman" w:hAnsi="Times New Roman" w:cs="Times New Roman"/>
          <w:b/>
          <w:bCs/>
          <w:sz w:val="36"/>
          <w:szCs w:val="36"/>
          <w:lang w:eastAsia="zh-CN"/>
        </w:rPr>
      </w:pPr>
      <w:r>
        <w:rPr>
          <w:rFonts w:hint="eastAsia" w:ascii="Times New Roman" w:hAnsi="Times New Roman" w:cs="Times New Roman"/>
          <w:b/>
          <w:bCs/>
          <w:sz w:val="36"/>
          <w:szCs w:val="36"/>
          <w:lang w:eastAsia="zh-CN"/>
        </w:rPr>
        <w:t>其他相关资料（包含技术规范书中要求的相关资料）</w:t>
      </w:r>
      <w:r>
        <w:rPr>
          <w:rFonts w:ascii="Times New Roman" w:hAnsi="Times New Roman" w:cs="Times New Roman"/>
          <w:b/>
          <w:sz w:val="36"/>
          <w:szCs w:val="36"/>
          <w:lang w:eastAsia="zh-CN"/>
        </w:rPr>
        <w:br w:type="page"/>
      </w:r>
    </w:p>
    <w:p>
      <w:pPr>
        <w:pStyle w:val="88"/>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承诺函</w:t>
      </w:r>
    </w:p>
    <w:p>
      <w:pPr>
        <w:pStyle w:val="88"/>
        <w:spacing w:beforeLines="0" w:afterLines="0" w:line="240" w:lineRule="auto"/>
        <w:ind w:firstLine="0" w:firstLineChars="0"/>
        <w:jc w:val="center"/>
        <w:rPr>
          <w:rFonts w:ascii="Times New Roman" w:hAnsi="Times New Roman" w:cs="Times New Roman"/>
          <w:b/>
          <w:sz w:val="36"/>
          <w:szCs w:val="36"/>
          <w:lang w:eastAsia="zh-CN"/>
        </w:rPr>
      </w:pPr>
    </w:p>
    <w:p>
      <w:pPr>
        <w:spacing w:line="500" w:lineRule="exact"/>
        <w:rPr>
          <w:sz w:val="24"/>
          <w:lang w:eastAsia="zh-CN"/>
        </w:rPr>
      </w:pPr>
      <w:r>
        <w:rPr>
          <w:rFonts w:hint="eastAsia"/>
          <w:sz w:val="24"/>
          <w:lang w:eastAsia="zh-CN"/>
        </w:rPr>
        <w:t>致：福建福海创石油化工有限公司</w:t>
      </w:r>
    </w:p>
    <w:p>
      <w:pPr>
        <w:pStyle w:val="2"/>
        <w:spacing w:line="480" w:lineRule="auto"/>
      </w:pPr>
    </w:p>
    <w:p>
      <w:pPr>
        <w:spacing w:before="38" w:line="480" w:lineRule="auto"/>
        <w:ind w:left="172" w:firstLine="480" w:firstLineChars="200"/>
        <w:rPr>
          <w:sz w:val="24"/>
          <w:lang w:eastAsia="zh-CN"/>
        </w:rPr>
      </w:pPr>
      <w:r>
        <w:rPr>
          <w:rFonts w:hint="eastAsia"/>
          <w:sz w:val="24"/>
          <w:lang w:eastAsia="zh-CN"/>
        </w:rPr>
        <w:t>我公司对贵司</w:t>
      </w:r>
      <w:r>
        <w:rPr>
          <w:rFonts w:hint="eastAsia"/>
          <w:sz w:val="24"/>
          <w:u w:val="single"/>
          <w:lang w:eastAsia="zh-CN"/>
        </w:rPr>
        <w:t xml:space="preserve">  </w:t>
      </w:r>
      <w:r>
        <w:rPr>
          <w:rFonts w:hint="eastAsia"/>
          <w:b/>
          <w:sz w:val="24"/>
          <w:u w:val="single"/>
          <w:lang w:eastAsia="zh-CN"/>
        </w:rPr>
        <w:t>锅炉火检风源管改造发包项目</w:t>
      </w:r>
      <w:r>
        <w:rPr>
          <w:rFonts w:hint="eastAsia"/>
          <w:sz w:val="24"/>
          <w:u w:val="single"/>
          <w:lang w:eastAsia="zh-CN"/>
        </w:rPr>
        <w:t xml:space="preserve"> </w:t>
      </w:r>
      <w:r>
        <w:rPr>
          <w:sz w:val="24"/>
          <w:u w:val="single"/>
          <w:lang w:eastAsia="zh-CN"/>
        </w:rPr>
        <w:t xml:space="preserve"> </w:t>
      </w:r>
      <w:r>
        <w:rPr>
          <w:rFonts w:hint="eastAsia"/>
          <w:sz w:val="24"/>
          <w:lang w:eastAsia="zh-CN"/>
        </w:rPr>
        <w:t>招标文件中有关要求完全响应，完全满足供应商合格条件。如我公司能在本次中选，我公司郑重承诺如下：</w:t>
      </w:r>
    </w:p>
    <w:p>
      <w:pPr>
        <w:spacing w:line="480" w:lineRule="auto"/>
        <w:ind w:firstLine="480" w:firstLineChars="200"/>
        <w:rPr>
          <w:sz w:val="24"/>
          <w:lang w:eastAsia="zh-CN"/>
        </w:rPr>
      </w:pPr>
      <w:r>
        <w:rPr>
          <w:rFonts w:hint="eastAsia"/>
          <w:sz w:val="24"/>
          <w:lang w:eastAsia="zh-CN"/>
        </w:rPr>
        <w:t>1、我公司将按照用户需求至上原则，保证提供优质的服务。</w:t>
      </w:r>
    </w:p>
    <w:p>
      <w:pPr>
        <w:spacing w:line="480" w:lineRule="auto"/>
        <w:ind w:firstLine="480" w:firstLineChars="200"/>
        <w:rPr>
          <w:sz w:val="24"/>
          <w:lang w:eastAsia="zh-CN"/>
        </w:rPr>
      </w:pPr>
      <w:r>
        <w:rPr>
          <w:rFonts w:hint="eastAsia"/>
          <w:sz w:val="24"/>
          <w:lang w:eastAsia="zh-CN"/>
        </w:rPr>
        <w:t>2、我公司将严格按照比选文件、参选文件及合同的要求履行自身义务。</w:t>
      </w:r>
    </w:p>
    <w:p>
      <w:pPr>
        <w:pStyle w:val="2"/>
        <w:spacing w:line="480" w:lineRule="auto"/>
        <w:ind w:firstLine="601" w:firstLineChars="188"/>
        <w:rPr>
          <w:rFonts w:ascii="Times New Roman" w:hAnsi="Times New Roman" w:eastAsia="仿宋_GB2312"/>
          <w:kern w:val="2"/>
          <w:sz w:val="32"/>
          <w:szCs w:val="32"/>
        </w:rPr>
      </w:pPr>
    </w:p>
    <w:p>
      <w:pPr>
        <w:pStyle w:val="2"/>
        <w:ind w:firstLine="601" w:firstLineChars="188"/>
        <w:rPr>
          <w:rFonts w:ascii="Times New Roman" w:hAnsi="Times New Roman" w:eastAsia="仿宋_GB2312"/>
          <w:kern w:val="2"/>
          <w:sz w:val="32"/>
          <w:szCs w:val="32"/>
        </w:rPr>
      </w:pPr>
    </w:p>
    <w:p>
      <w:pPr>
        <w:pStyle w:val="88"/>
        <w:spacing w:beforeLines="0" w:afterLines="0" w:line="560" w:lineRule="exact"/>
        <w:ind w:firstLine="640"/>
        <w:rPr>
          <w:rFonts w:ascii="Times New Roman" w:hAnsi="Times New Roman" w:eastAsia="仿宋_GB2312"/>
          <w:sz w:val="32"/>
          <w:szCs w:val="32"/>
          <w:lang w:eastAsia="zh-CN"/>
        </w:rPr>
      </w:pPr>
    </w:p>
    <w:p>
      <w:pPr>
        <w:pStyle w:val="2"/>
        <w:ind w:firstLine="601" w:firstLineChars="188"/>
        <w:rPr>
          <w:rFonts w:ascii="Times New Roman" w:hAnsi="Times New Roman" w:eastAsia="仿宋_GB2312"/>
          <w:kern w:val="2"/>
          <w:sz w:val="32"/>
          <w:szCs w:val="32"/>
        </w:rPr>
      </w:pPr>
    </w:p>
    <w:p>
      <w:pPr>
        <w:pStyle w:val="2"/>
        <w:ind w:firstLine="451" w:firstLineChars="188"/>
        <w:jc w:val="center"/>
        <w:rPr>
          <w:rFonts w:hAnsi="宋体" w:cs="宋体"/>
          <w:kern w:val="2"/>
          <w:sz w:val="24"/>
          <w:szCs w:val="24"/>
        </w:rPr>
      </w:pPr>
      <w:r>
        <w:rPr>
          <w:rFonts w:hint="eastAsia" w:hAnsi="宋体" w:cs="宋体"/>
          <w:kern w:val="2"/>
          <w:sz w:val="24"/>
          <w:szCs w:val="24"/>
        </w:rPr>
        <w:t xml:space="preserve"> </w:t>
      </w:r>
      <w:r>
        <w:rPr>
          <w:rFonts w:hAnsi="宋体" w:cs="宋体"/>
          <w:kern w:val="2"/>
          <w:sz w:val="24"/>
          <w:szCs w:val="24"/>
        </w:rPr>
        <w:t xml:space="preserve">                   </w:t>
      </w:r>
      <w:r>
        <w:rPr>
          <w:rFonts w:hint="eastAsia" w:hAnsi="宋体" w:cs="宋体"/>
          <w:kern w:val="2"/>
          <w:sz w:val="24"/>
          <w:szCs w:val="24"/>
        </w:rPr>
        <w:t>参选人：单位名称</w:t>
      </w:r>
      <w:r>
        <w:rPr>
          <w:rFonts w:hint="eastAsia" w:hAnsi="宋体" w:cs="宋体"/>
          <w:color w:val="00B050"/>
          <w:kern w:val="2"/>
          <w:sz w:val="24"/>
          <w:szCs w:val="24"/>
        </w:rPr>
        <w:t>（盖单位公章）</w:t>
      </w:r>
    </w:p>
    <w:p>
      <w:pPr>
        <w:pStyle w:val="2"/>
        <w:ind w:firstLine="451" w:firstLineChars="188"/>
        <w:jc w:val="center"/>
        <w:rPr>
          <w:rFonts w:hAnsi="宋体" w:cs="宋体"/>
          <w:kern w:val="2"/>
          <w:sz w:val="24"/>
          <w:szCs w:val="24"/>
        </w:rPr>
      </w:pPr>
      <w:r>
        <w:rPr>
          <w:rFonts w:hint="eastAsia" w:hAnsi="宋体" w:cs="宋体"/>
          <w:kern w:val="2"/>
          <w:sz w:val="24"/>
          <w:szCs w:val="24"/>
        </w:rPr>
        <w:t>年  月  日</w:t>
      </w:r>
    </w:p>
    <w:p>
      <w:pPr>
        <w:pStyle w:val="2"/>
      </w:pPr>
    </w:p>
    <w:p>
      <w:pPr>
        <w:pStyle w:val="2"/>
        <w:rPr>
          <w:rFonts w:hAnsi="宋体"/>
          <w:b/>
          <w:sz w:val="40"/>
          <w:szCs w:val="40"/>
        </w:rPr>
      </w:pPr>
    </w:p>
    <w:p>
      <w:pPr>
        <w:rPr>
          <w:lang w:eastAsia="zh-CN"/>
        </w:rPr>
      </w:pPr>
    </w:p>
    <w:p>
      <w:pPr>
        <w:pStyle w:val="25"/>
        <w:spacing w:before="106"/>
        <w:ind w:left="218"/>
        <w:rPr>
          <w:lang w:eastAsia="zh-CN"/>
        </w:rPr>
      </w:pPr>
    </w:p>
    <w:p>
      <w:pPr>
        <w:widowControl/>
        <w:autoSpaceDE/>
        <w:autoSpaceDN/>
        <w:rPr>
          <w:rFonts w:ascii="Times New Roman" w:hAnsi="Times New Roman" w:cs="Times New Roman"/>
          <w:b/>
          <w:sz w:val="36"/>
          <w:szCs w:val="36"/>
          <w:lang w:eastAsia="zh-CN"/>
        </w:rPr>
      </w:pPr>
    </w:p>
    <w:p>
      <w:pPr>
        <w:widowControl/>
        <w:autoSpaceDE/>
        <w:autoSpaceDN/>
        <w:rPr>
          <w:rFonts w:ascii="Times New Roman" w:hAnsi="Times New Roman" w:cs="Times New Roman"/>
          <w:b/>
          <w:sz w:val="36"/>
          <w:szCs w:val="36"/>
          <w:lang w:eastAsia="zh-CN"/>
        </w:rPr>
      </w:pPr>
    </w:p>
    <w:p>
      <w:pPr>
        <w:widowControl/>
        <w:autoSpaceDE/>
        <w:autoSpaceDN/>
        <w:rPr>
          <w:rFonts w:ascii="Times New Roman" w:hAnsi="Times New Roman" w:cs="Times New Roman"/>
          <w:b/>
          <w:sz w:val="36"/>
          <w:szCs w:val="36"/>
          <w:lang w:eastAsia="zh-CN"/>
        </w:rPr>
      </w:pPr>
      <w:r>
        <w:rPr>
          <w:rFonts w:ascii="Times New Roman" w:hAnsi="Times New Roman" w:cs="Times New Roman"/>
          <w:b/>
          <w:sz w:val="36"/>
          <w:szCs w:val="36"/>
          <w:lang w:eastAsia="zh-CN"/>
        </w:rPr>
        <w:br w:type="page"/>
      </w:r>
    </w:p>
    <w:p>
      <w:pPr>
        <w:spacing w:line="360" w:lineRule="auto"/>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商务报价函</w:t>
      </w:r>
    </w:p>
    <w:p>
      <w:pPr>
        <w:pStyle w:val="2"/>
        <w:spacing w:line="360" w:lineRule="auto"/>
      </w:pPr>
    </w:p>
    <w:p>
      <w:pPr>
        <w:spacing w:line="360" w:lineRule="auto"/>
        <w:rPr>
          <w:rFonts w:ascii="Times New Roman"/>
          <w:sz w:val="28"/>
          <w:szCs w:val="28"/>
          <w:lang w:eastAsia="zh-CN"/>
        </w:rPr>
      </w:pPr>
      <w:r>
        <w:rPr>
          <w:rFonts w:hint="eastAsia" w:ascii="Times New Roman" w:hAnsi="Times New Roman"/>
          <w:sz w:val="28"/>
          <w:szCs w:val="28"/>
          <w:lang w:eastAsia="zh-CN"/>
        </w:rPr>
        <w:t>致：</w:t>
      </w:r>
      <w:r>
        <w:rPr>
          <w:rFonts w:hint="eastAsia" w:ascii="Times New Roman"/>
          <w:sz w:val="28"/>
          <w:szCs w:val="28"/>
          <w:lang w:eastAsia="zh-CN"/>
        </w:rPr>
        <w:t>福建福海创石油化工有限公司</w:t>
      </w:r>
    </w:p>
    <w:p>
      <w:pPr>
        <w:spacing w:line="360" w:lineRule="auto"/>
        <w:ind w:firstLine="560" w:firstLineChars="200"/>
        <w:rPr>
          <w:rFonts w:ascii="黑体" w:hAnsi="黑体" w:eastAsia="黑体"/>
          <w:bCs/>
          <w:sz w:val="30"/>
          <w:szCs w:val="30"/>
          <w:lang w:eastAsia="zh-CN"/>
        </w:rPr>
      </w:pPr>
      <w:r>
        <w:rPr>
          <w:rFonts w:hint="eastAsia" w:ascii="Times New Roman" w:hAnsi="Times New Roman"/>
          <w:sz w:val="28"/>
          <w:szCs w:val="28"/>
          <w:lang w:eastAsia="zh-CN"/>
        </w:rPr>
        <w:t>在充分</w:t>
      </w:r>
      <w:r>
        <w:rPr>
          <w:rFonts w:hint="eastAsia" w:ascii="Times New Roman" w:hAnsi="ˎ̥"/>
          <w:sz w:val="28"/>
          <w:szCs w:val="28"/>
          <w:lang w:eastAsia="zh-CN"/>
        </w:rPr>
        <w:t>研究福建福海创石油化工有限公司</w:t>
      </w:r>
      <w:r>
        <w:rPr>
          <w:rFonts w:hint="eastAsia" w:ascii="Times New Roman" w:hAnsi="ˎ̥"/>
          <w:sz w:val="28"/>
          <w:szCs w:val="28"/>
          <w:u w:val="single"/>
          <w:lang w:eastAsia="zh-CN"/>
        </w:rPr>
        <w:t xml:space="preserve"> </w:t>
      </w:r>
      <w:r>
        <w:rPr>
          <w:rFonts w:ascii="Times New Roman" w:hAnsi="ˎ̥"/>
          <w:sz w:val="28"/>
          <w:szCs w:val="28"/>
          <w:u w:val="single"/>
          <w:lang w:eastAsia="zh-CN"/>
        </w:rPr>
        <w:t xml:space="preserve">  </w:t>
      </w:r>
      <w:r>
        <w:rPr>
          <w:rFonts w:hint="eastAsia" w:ascii="Times New Roman" w:hAnsi="ˎ̥"/>
          <w:b/>
          <w:sz w:val="28"/>
          <w:szCs w:val="28"/>
          <w:u w:val="single"/>
          <w:lang w:eastAsia="zh-CN"/>
        </w:rPr>
        <w:t>锅炉火检风源管改造发包项目</w:t>
      </w:r>
      <w:r>
        <w:rPr>
          <w:rFonts w:ascii="方正小标宋简体" w:hAnsi="方正小标宋简体" w:eastAsia="方正小标宋简体" w:cs="方正小标宋简体"/>
          <w:b/>
          <w:sz w:val="28"/>
          <w:szCs w:val="28"/>
          <w:u w:val="single"/>
          <w:lang w:eastAsia="zh-CN"/>
        </w:rPr>
        <w:t xml:space="preserve">  </w:t>
      </w:r>
      <w:r>
        <w:rPr>
          <w:rFonts w:hint="eastAsia" w:ascii="Times New Roman" w:hAnsi="ˎ̥"/>
          <w:sz w:val="28"/>
          <w:szCs w:val="28"/>
          <w:lang w:eastAsia="zh-CN"/>
        </w:rPr>
        <w:t>比选文件的全部内容后，我方愿以以下报价，严格按照自主比选文件的要求，参与本项目的比选。</w:t>
      </w:r>
    </w:p>
    <w:tbl>
      <w:tblPr>
        <w:tblStyle w:val="60"/>
        <w:tblW w:w="9499" w:type="dxa"/>
        <w:tblInd w:w="-318" w:type="dxa"/>
        <w:tblLayout w:type="autofit"/>
        <w:tblCellMar>
          <w:top w:w="0" w:type="dxa"/>
          <w:left w:w="108" w:type="dxa"/>
          <w:bottom w:w="0" w:type="dxa"/>
          <w:right w:w="108" w:type="dxa"/>
        </w:tblCellMar>
      </w:tblPr>
      <w:tblGrid>
        <w:gridCol w:w="9499"/>
      </w:tblGrid>
      <w:tr>
        <w:tblPrEx>
          <w:tblCellMar>
            <w:top w:w="0" w:type="dxa"/>
            <w:left w:w="108" w:type="dxa"/>
            <w:bottom w:w="0" w:type="dxa"/>
            <w:right w:w="108" w:type="dxa"/>
          </w:tblCellMar>
        </w:tblPrEx>
        <w:trPr>
          <w:trHeight w:val="604" w:hRule="atLeast"/>
        </w:trPr>
        <w:tc>
          <w:tcPr>
            <w:tcW w:w="9499" w:type="dxa"/>
            <w:shd w:val="clear" w:color="auto" w:fill="auto"/>
            <w:noWrap/>
            <w:vAlign w:val="center"/>
          </w:tcPr>
          <w:p>
            <w:pPr>
              <w:widowControl/>
              <w:spacing w:line="360" w:lineRule="auto"/>
              <w:rPr>
                <w:rFonts w:asciiTheme="minorEastAsia" w:hAnsiTheme="minorEastAsia" w:eastAsiaTheme="minorEastAsia"/>
                <w:b/>
                <w:bCs/>
                <w:szCs w:val="21"/>
                <w:lang w:eastAsia="zh-CN"/>
              </w:rPr>
            </w:pPr>
            <w:r>
              <w:rPr>
                <w:rFonts w:hint="eastAsia" w:asciiTheme="minorEastAsia" w:hAnsiTheme="minorEastAsia" w:eastAsiaTheme="minorEastAsia"/>
                <w:b/>
                <w:bCs/>
                <w:szCs w:val="21"/>
                <w:lang w:eastAsia="zh-CN"/>
              </w:rPr>
              <w:t xml:space="preserve"> </w:t>
            </w:r>
            <w:r>
              <w:rPr>
                <w:rFonts w:asciiTheme="minorEastAsia" w:hAnsiTheme="minorEastAsia" w:eastAsiaTheme="minorEastAsia"/>
                <w:b/>
                <w:bCs/>
                <w:szCs w:val="21"/>
                <w:lang w:eastAsia="zh-CN"/>
              </w:rPr>
              <w:t xml:space="preserve">    </w:t>
            </w:r>
          </w:p>
          <w:p>
            <w:pPr>
              <w:spacing w:line="360" w:lineRule="auto"/>
              <w:rPr>
                <w:rFonts w:ascii="Times New Roman" w:hAnsi="Times New Roman"/>
                <w:sz w:val="32"/>
                <w:szCs w:val="32"/>
                <w:u w:val="single"/>
                <w:lang w:eastAsia="zh-CN"/>
              </w:rPr>
            </w:pPr>
            <w:r>
              <w:rPr>
                <w:rFonts w:hint="eastAsia" w:hAnsi="Calibri" w:cs="Times New Roman"/>
                <w:sz w:val="32"/>
                <w:szCs w:val="32"/>
                <w:lang w:eastAsia="zh-CN"/>
              </w:rPr>
              <w:t>本项目“4套锅炉火检风源管改造”含税包干总价为：</w:t>
            </w:r>
            <w:r>
              <w:rPr>
                <w:rFonts w:ascii="Times New Roman" w:hAnsi="Times New Roman"/>
                <w:sz w:val="32"/>
                <w:szCs w:val="32"/>
                <w:u w:val="single"/>
                <w:lang w:eastAsia="zh-CN"/>
              </w:rPr>
              <w:t xml:space="preserve">                                              </w:t>
            </w:r>
          </w:p>
          <w:p>
            <w:pPr>
              <w:pStyle w:val="2"/>
              <w:rPr>
                <w:rFonts w:ascii="Times New Roman" w:hAnsi="Times New Roman"/>
                <w:sz w:val="32"/>
                <w:szCs w:val="32"/>
              </w:rPr>
            </w:pPr>
            <w:r>
              <w:rPr>
                <w:sz w:val="32"/>
                <w:szCs w:val="32"/>
              </w:rPr>
              <w:t xml:space="preserve">     </w:t>
            </w:r>
            <w:r>
              <w:rPr>
                <w:rFonts w:ascii="Times New Roman" w:hAnsi="Times New Roman"/>
                <w:sz w:val="32"/>
                <w:szCs w:val="32"/>
              </w:rPr>
              <w:t xml:space="preserve">           </w:t>
            </w:r>
          </w:p>
          <w:p>
            <w:pPr>
              <w:pStyle w:val="2"/>
              <w:spacing w:line="360" w:lineRule="auto"/>
              <w:ind w:firstLine="640" w:firstLineChars="200"/>
              <w:rPr>
                <w:rFonts w:ascii="Times New Roman" w:hAnsi="Times New Roman"/>
                <w:sz w:val="32"/>
                <w:szCs w:val="32"/>
              </w:rPr>
            </w:pPr>
            <w:r>
              <w:rPr>
                <w:rFonts w:ascii="Times New Roman" w:hAnsi="Times New Roman"/>
                <w:sz w:val="32"/>
                <w:szCs w:val="32"/>
              </w:rPr>
              <w:t xml:space="preserve">               </w:t>
            </w:r>
            <w:r>
              <w:rPr>
                <w:rFonts w:hint="eastAsia"/>
                <w:sz w:val="32"/>
                <w:szCs w:val="32"/>
              </w:rPr>
              <w:t>以上报价所含增值税类型及税率：</w:t>
            </w:r>
            <w:r>
              <w:rPr>
                <w:rFonts w:ascii="Times New Roman" w:hAnsi="Times New Roman"/>
                <w:sz w:val="32"/>
                <w:szCs w:val="32"/>
                <w:u w:val="single"/>
              </w:rPr>
              <w:t xml:space="preserve">                                            </w:t>
            </w:r>
            <w:r>
              <w:rPr>
                <w:rFonts w:ascii="Times New Roman" w:hAnsi="Times New Roman"/>
                <w:sz w:val="32"/>
                <w:szCs w:val="32"/>
              </w:rPr>
              <w:t xml:space="preserve">     </w:t>
            </w:r>
          </w:p>
          <w:p>
            <w:pPr>
              <w:tabs>
                <w:tab w:val="left" w:pos="900"/>
              </w:tabs>
              <w:spacing w:after="156" w:afterLines="50" w:line="276" w:lineRule="auto"/>
              <w:ind w:left="426"/>
              <w:jc w:val="center"/>
              <w:rPr>
                <w:rFonts w:hAnsi="Calibri" w:cs="Times New Roman"/>
                <w:b/>
                <w:sz w:val="32"/>
                <w:szCs w:val="32"/>
                <w:lang w:eastAsia="zh-CN"/>
              </w:rPr>
            </w:pPr>
            <w:r>
              <w:rPr>
                <w:rFonts w:hint="eastAsia" w:hAnsi="Calibri" w:cs="Times New Roman"/>
                <w:b/>
                <w:sz w:val="32"/>
                <w:szCs w:val="32"/>
                <w:lang w:eastAsia="zh-CN"/>
              </w:rPr>
              <w:t>备注：参选人报价时需自行附上具体详细报价清单！！</w:t>
            </w:r>
          </w:p>
          <w:p>
            <w:pPr>
              <w:tabs>
                <w:tab w:val="left" w:pos="900"/>
              </w:tabs>
              <w:spacing w:after="156" w:afterLines="50" w:line="276" w:lineRule="auto"/>
              <w:ind w:left="426"/>
              <w:jc w:val="center"/>
              <w:rPr>
                <w:rFonts w:hAnsi="Calibri" w:cs="Times New Roman"/>
                <w:b/>
                <w:sz w:val="32"/>
                <w:szCs w:val="32"/>
                <w:lang w:eastAsia="zh-CN"/>
              </w:rPr>
            </w:pPr>
            <w:r>
              <w:rPr>
                <w:rFonts w:hint="eastAsia" w:hAnsi="Calibri" w:cs="Times New Roman"/>
                <w:b/>
                <w:sz w:val="32"/>
                <w:szCs w:val="32"/>
                <w:lang w:eastAsia="zh-CN"/>
              </w:rPr>
              <w:t>与本商务报价函一并密封递交！！！</w:t>
            </w:r>
          </w:p>
          <w:p>
            <w:pPr>
              <w:spacing w:line="360" w:lineRule="auto"/>
              <w:rPr>
                <w:b/>
                <w:lang w:eastAsia="zh-CN"/>
              </w:rPr>
            </w:pPr>
            <w:r>
              <w:rPr>
                <w:rFonts w:hint="eastAsia" w:ascii="Times New Roman" w:hAnsi="Times New Roman"/>
                <w:sz w:val="28"/>
                <w:szCs w:val="28"/>
                <w:lang w:eastAsia="zh-CN"/>
              </w:rPr>
              <w:t xml:space="preserve"> </w:t>
            </w:r>
            <w:r>
              <w:rPr>
                <w:rFonts w:ascii="Times New Roman" w:hAnsi="Times New Roman"/>
                <w:sz w:val="28"/>
                <w:szCs w:val="28"/>
                <w:lang w:eastAsia="zh-CN"/>
              </w:rPr>
              <w:t xml:space="preserve">          </w:t>
            </w:r>
            <w:r>
              <w:rPr>
                <w:rFonts w:ascii="Times New Roman" w:hAnsi="Times New Roman"/>
                <w:b/>
                <w:sz w:val="28"/>
                <w:szCs w:val="28"/>
                <w:lang w:eastAsia="zh-CN"/>
              </w:rPr>
              <w:t xml:space="preserve">                        </w:t>
            </w:r>
          </w:p>
        </w:tc>
      </w:tr>
    </w:tbl>
    <w:p>
      <w:pPr>
        <w:spacing w:line="360" w:lineRule="auto"/>
        <w:ind w:firstLine="560" w:firstLineChars="200"/>
        <w:rPr>
          <w:sz w:val="28"/>
          <w:u w:val="single"/>
          <w:lang w:eastAsia="zh-CN"/>
        </w:rPr>
      </w:pPr>
      <w:r>
        <w:rPr>
          <w:rFonts w:hint="eastAsia"/>
          <w:sz w:val="28"/>
          <w:lang w:eastAsia="zh-CN"/>
        </w:rPr>
        <w:t>参选人：</w:t>
      </w:r>
      <w:r>
        <w:rPr>
          <w:rFonts w:hint="eastAsia"/>
          <w:sz w:val="28"/>
          <w:u w:val="single"/>
          <w:lang w:eastAsia="zh-CN"/>
        </w:rPr>
        <w:t xml:space="preserve">   </w:t>
      </w:r>
      <w:r>
        <w:rPr>
          <w:sz w:val="28"/>
          <w:u w:val="single"/>
          <w:lang w:eastAsia="zh-CN"/>
        </w:rPr>
        <w:t xml:space="preserve">    单位名称</w:t>
      </w:r>
      <w:r>
        <w:rPr>
          <w:rFonts w:hint="eastAsia"/>
          <w:sz w:val="28"/>
          <w:u w:val="single"/>
          <w:lang w:eastAsia="zh-CN"/>
        </w:rPr>
        <w:t xml:space="preserve">   </w:t>
      </w:r>
      <w:r>
        <w:rPr>
          <w:rFonts w:hint="eastAsia"/>
          <w:color w:val="00B050"/>
          <w:sz w:val="28"/>
          <w:lang w:eastAsia="zh-CN"/>
        </w:rPr>
        <w:t>（加盖参选单位章）</w:t>
      </w:r>
    </w:p>
    <w:p>
      <w:pPr>
        <w:spacing w:line="360" w:lineRule="auto"/>
        <w:ind w:firstLine="560" w:firstLineChars="20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pPr>
        <w:spacing w:line="360" w:lineRule="auto"/>
        <w:ind w:firstLine="560" w:firstLineChars="200"/>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pPr>
        <w:pStyle w:val="2"/>
        <w:spacing w:line="360" w:lineRule="auto"/>
        <w:ind w:firstLine="560" w:firstLineChars="200"/>
      </w:pPr>
      <w:r>
        <w:rPr>
          <w:rFonts w:hint="eastAsia" w:hAnsi="宋体" w:cs="宋体"/>
          <w:sz w:val="28"/>
        </w:rPr>
        <w:t>联系电话及邮箱：</w:t>
      </w:r>
      <w:r>
        <w:rPr>
          <w:rFonts w:hint="eastAsia"/>
          <w:u w:val="single"/>
        </w:rPr>
        <w:t xml:space="preserve">         </w:t>
      </w:r>
      <w:r>
        <w:rPr>
          <w:u w:val="single"/>
        </w:rPr>
        <w:t xml:space="preserve">  </w:t>
      </w:r>
      <w:r>
        <w:rPr>
          <w:rFonts w:hint="eastAsia"/>
          <w:u w:val="single"/>
        </w:rPr>
        <w:t xml:space="preserve">         </w:t>
      </w:r>
    </w:p>
    <w:p>
      <w:pPr>
        <w:ind w:firstLine="560" w:firstLineChars="20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68"/>
    </w:p>
    <w:sectPr>
      <w:footerReference r:id="rId6" w:type="default"/>
      <w:pgSz w:w="11910" w:h="16840"/>
      <w:pgMar w:top="1418" w:right="1134" w:bottom="851" w:left="1134" w:header="0" w:footer="55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Arial Unicode MS">
    <w:altName w:val="宋体"/>
    <w:panose1 w:val="020B0604020202020204"/>
    <w:charset w:val="86"/>
    <w:family w:val="swiss"/>
    <w:pitch w:val="default"/>
    <w:sig w:usb0="00000000" w:usb1="00000000" w:usb2="0000003F" w:usb3="00000000" w:csb0="003F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五">
    <w:altName w:val="黑体"/>
    <w:panose1 w:val="00000000000000000000"/>
    <w:charset w:val="86"/>
    <w:family w:val="auto"/>
    <w:pitch w:val="default"/>
    <w:sig w:usb0="00000000" w:usb1="00000000" w:usb2="00000010" w:usb3="00000000" w:csb0="00040000"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方正小标宋简体">
    <w:altName w:val="黑体"/>
    <w:panose1 w:val="00000000000000000000"/>
    <w:charset w:val="86"/>
    <w:family w:val="auto"/>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pPr>
    <w:r>
      <w:fldChar w:fldCharType="begin"/>
    </w:r>
    <w:r>
      <w:rPr>
        <w:rStyle w:val="65"/>
      </w:rPr>
      <w:instrText xml:space="preserve"> PAGE </w:instrText>
    </w:r>
    <w:r>
      <w:fldChar w:fldCharType="separate"/>
    </w:r>
    <w:r>
      <w:rPr>
        <w:rStyle w:val="65"/>
      </w:rPr>
      <w:t>22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center" w:y="1"/>
      <w:rPr>
        <w:rStyle w:val="65"/>
      </w:rPr>
    </w:pPr>
    <w:r>
      <w:fldChar w:fldCharType="begin"/>
    </w:r>
    <w:r>
      <w:rPr>
        <w:rStyle w:val="65"/>
      </w:rPr>
      <w:instrText xml:space="preserve">PAGE  </w:instrText>
    </w:r>
    <w:r>
      <w:fldChar w:fldCharType="end"/>
    </w:r>
  </w:p>
  <w:p>
    <w:pPr>
      <w:pStyle w:val="3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67856300"/>
      <w:docPartObj>
        <w:docPartGallery w:val="AutoText"/>
      </w:docPartObj>
    </w:sdtPr>
    <w:sdtContent>
      <w:sdt>
        <w:sdtPr>
          <w:id w:val="2057886025"/>
          <w:docPartObj>
            <w:docPartGallery w:val="AutoText"/>
          </w:docPartObj>
        </w:sdtPr>
        <w:sdtContent>
          <w:p>
            <w:pPr>
              <w:pStyle w:val="39"/>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56</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56</w:t>
            </w:r>
            <w:r>
              <w:rPr>
                <w:b/>
                <w:bCs/>
                <w:sz w:val="24"/>
                <w:szCs w:val="24"/>
              </w:rPr>
              <w:fldChar w:fldCharType="end"/>
            </w:r>
          </w:p>
        </w:sdtContent>
      </w:sdt>
    </w:sdtContent>
  </w:sdt>
  <w:p>
    <w:pPr>
      <w:pStyle w:val="25"/>
      <w:spacing w:line="14" w:lineRule="auto"/>
      <w:rPr>
        <w:sz w:val="2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top w:val="none" w:color="auto" w:sz="0" w:space="0"/>
      </w:pBdr>
      <w:rPr>
        <w:szCs w:val="18"/>
        <w:lang w:eastAsia="zh-CN"/>
      </w:rPr>
    </w:pPr>
    <w:r>
      <w:rPr>
        <w:rFonts w:hint="eastAsia"/>
        <w:szCs w:val="18"/>
        <w:lang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48C179"/>
    <w:multiLevelType w:val="multilevel"/>
    <w:tmpl w:val="0248C179"/>
    <w:lvl w:ilvl="0" w:tentative="0">
      <w:start w:val="2"/>
      <w:numFmt w:val="decimal"/>
      <w:pStyle w:val="58"/>
      <w:lvlText w:val="%1"/>
      <w:lvlJc w:val="left"/>
      <w:pPr>
        <w:ind w:left="118" w:hanging="420"/>
      </w:pPr>
      <w:rPr>
        <w:rFonts w:hint="default"/>
      </w:rPr>
    </w:lvl>
    <w:lvl w:ilvl="1" w:tentative="0">
      <w:start w:val="4"/>
      <w:numFmt w:val="decimal"/>
      <w:lvlText w:val="%1.%2"/>
      <w:lvlJc w:val="left"/>
      <w:pPr>
        <w:ind w:left="118" w:hanging="420"/>
      </w:pPr>
      <w:rPr>
        <w:rFonts w:hint="default" w:ascii="Times New Roman" w:hAnsi="Times New Roman" w:eastAsia="Times New Roman" w:cs="Times New Roman"/>
        <w:spacing w:val="-32"/>
        <w:w w:val="100"/>
        <w:sz w:val="24"/>
        <w:szCs w:val="24"/>
      </w:rPr>
    </w:lvl>
    <w:lvl w:ilvl="2" w:tentative="0">
      <w:start w:val="0"/>
      <w:numFmt w:val="bullet"/>
      <w:lvlText w:val="•"/>
      <w:lvlJc w:val="left"/>
      <w:pPr>
        <w:ind w:left="1994" w:hanging="420"/>
      </w:pPr>
      <w:rPr>
        <w:rFonts w:hint="default"/>
      </w:rPr>
    </w:lvl>
    <w:lvl w:ilvl="3" w:tentative="0">
      <w:start w:val="0"/>
      <w:numFmt w:val="bullet"/>
      <w:lvlText w:val="•"/>
      <w:lvlJc w:val="left"/>
      <w:pPr>
        <w:ind w:left="2931" w:hanging="420"/>
      </w:pPr>
      <w:rPr>
        <w:rFonts w:hint="default"/>
      </w:rPr>
    </w:lvl>
    <w:lvl w:ilvl="4" w:tentative="0">
      <w:start w:val="0"/>
      <w:numFmt w:val="bullet"/>
      <w:lvlText w:val="•"/>
      <w:lvlJc w:val="left"/>
      <w:pPr>
        <w:ind w:left="3868" w:hanging="420"/>
      </w:pPr>
      <w:rPr>
        <w:rFonts w:hint="default"/>
      </w:rPr>
    </w:lvl>
    <w:lvl w:ilvl="5" w:tentative="0">
      <w:start w:val="0"/>
      <w:numFmt w:val="bullet"/>
      <w:lvlText w:val="•"/>
      <w:lvlJc w:val="left"/>
      <w:pPr>
        <w:ind w:left="4805" w:hanging="420"/>
      </w:pPr>
      <w:rPr>
        <w:rFonts w:hint="default"/>
      </w:rPr>
    </w:lvl>
    <w:lvl w:ilvl="6" w:tentative="0">
      <w:start w:val="0"/>
      <w:numFmt w:val="bullet"/>
      <w:lvlText w:val="•"/>
      <w:lvlJc w:val="left"/>
      <w:pPr>
        <w:ind w:left="5742" w:hanging="420"/>
      </w:pPr>
      <w:rPr>
        <w:rFonts w:hint="default"/>
      </w:rPr>
    </w:lvl>
    <w:lvl w:ilvl="7" w:tentative="0">
      <w:start w:val="0"/>
      <w:numFmt w:val="bullet"/>
      <w:lvlText w:val="•"/>
      <w:lvlJc w:val="left"/>
      <w:pPr>
        <w:ind w:left="6679" w:hanging="420"/>
      </w:pPr>
      <w:rPr>
        <w:rFonts w:hint="default"/>
      </w:rPr>
    </w:lvl>
    <w:lvl w:ilvl="8" w:tentative="0">
      <w:start w:val="0"/>
      <w:numFmt w:val="bullet"/>
      <w:lvlText w:val="•"/>
      <w:lvlJc w:val="left"/>
      <w:pPr>
        <w:ind w:left="7616" w:hanging="420"/>
      </w:pPr>
      <w:rPr>
        <w:rFonts w:hint="default"/>
      </w:rPr>
    </w:lvl>
  </w:abstractNum>
  <w:abstractNum w:abstractNumId="1">
    <w:nsid w:val="0CC52249"/>
    <w:multiLevelType w:val="multilevel"/>
    <w:tmpl w:val="0CC52249"/>
    <w:lvl w:ilvl="0" w:tentative="0">
      <w:start w:val="1"/>
      <w:numFmt w:val="decimal"/>
      <w:lvlText w:val="%1、"/>
      <w:lvlJc w:val="left"/>
      <w:pPr>
        <w:ind w:left="1210" w:hanging="360"/>
      </w:pPr>
      <w:rPr>
        <w:rFonts w:hint="default"/>
        <w:color w:val="auto"/>
      </w:rPr>
    </w:lvl>
    <w:lvl w:ilvl="1" w:tentative="0">
      <w:start w:val="1"/>
      <w:numFmt w:val="lowerLetter"/>
      <w:lvlText w:val="%2)"/>
      <w:lvlJc w:val="left"/>
      <w:pPr>
        <w:ind w:left="1690" w:hanging="420"/>
      </w:pPr>
    </w:lvl>
    <w:lvl w:ilvl="2" w:tentative="0">
      <w:start w:val="1"/>
      <w:numFmt w:val="lowerRoman"/>
      <w:lvlText w:val="%3."/>
      <w:lvlJc w:val="right"/>
      <w:pPr>
        <w:ind w:left="2110" w:hanging="420"/>
      </w:pPr>
    </w:lvl>
    <w:lvl w:ilvl="3" w:tentative="0">
      <w:start w:val="1"/>
      <w:numFmt w:val="decimal"/>
      <w:lvlText w:val="%4."/>
      <w:lvlJc w:val="left"/>
      <w:pPr>
        <w:ind w:left="2530" w:hanging="420"/>
      </w:pPr>
    </w:lvl>
    <w:lvl w:ilvl="4" w:tentative="0">
      <w:start w:val="1"/>
      <w:numFmt w:val="lowerLetter"/>
      <w:lvlText w:val="%5)"/>
      <w:lvlJc w:val="left"/>
      <w:pPr>
        <w:ind w:left="2950" w:hanging="420"/>
      </w:pPr>
    </w:lvl>
    <w:lvl w:ilvl="5" w:tentative="0">
      <w:start w:val="1"/>
      <w:numFmt w:val="lowerRoman"/>
      <w:lvlText w:val="%6."/>
      <w:lvlJc w:val="right"/>
      <w:pPr>
        <w:ind w:left="3370" w:hanging="420"/>
      </w:pPr>
    </w:lvl>
    <w:lvl w:ilvl="6" w:tentative="0">
      <w:start w:val="1"/>
      <w:numFmt w:val="decimal"/>
      <w:lvlText w:val="%7."/>
      <w:lvlJc w:val="left"/>
      <w:pPr>
        <w:ind w:left="3790" w:hanging="420"/>
      </w:pPr>
    </w:lvl>
    <w:lvl w:ilvl="7" w:tentative="0">
      <w:start w:val="1"/>
      <w:numFmt w:val="lowerLetter"/>
      <w:lvlText w:val="%8)"/>
      <w:lvlJc w:val="left"/>
      <w:pPr>
        <w:ind w:left="4210" w:hanging="420"/>
      </w:pPr>
    </w:lvl>
    <w:lvl w:ilvl="8" w:tentative="0">
      <w:start w:val="1"/>
      <w:numFmt w:val="lowerRoman"/>
      <w:lvlText w:val="%9."/>
      <w:lvlJc w:val="right"/>
      <w:pPr>
        <w:ind w:left="4630" w:hanging="420"/>
      </w:pPr>
    </w:lvl>
  </w:abstractNum>
  <w:abstractNum w:abstractNumId="2">
    <w:nsid w:val="0E603979"/>
    <w:multiLevelType w:val="multilevel"/>
    <w:tmpl w:val="0E603979"/>
    <w:lvl w:ilvl="0" w:tentative="0">
      <w:start w:val="1"/>
      <w:numFmt w:val="decimal"/>
      <w:lvlText w:val="%1、"/>
      <w:lvlJc w:val="left"/>
      <w:pPr>
        <w:ind w:left="-37" w:hanging="360"/>
      </w:pPr>
      <w:rPr>
        <w:rFonts w:hint="default" w:ascii="宋体" w:hAnsi="宋体" w:eastAsia="宋体"/>
        <w:b w:val="0"/>
      </w:rPr>
    </w:lvl>
    <w:lvl w:ilvl="1" w:tentative="0">
      <w:start w:val="1"/>
      <w:numFmt w:val="lowerLetter"/>
      <w:lvlText w:val="%2)"/>
      <w:lvlJc w:val="left"/>
      <w:pPr>
        <w:ind w:left="443" w:hanging="420"/>
      </w:pPr>
    </w:lvl>
    <w:lvl w:ilvl="2" w:tentative="0">
      <w:start w:val="1"/>
      <w:numFmt w:val="lowerRoman"/>
      <w:lvlText w:val="%3."/>
      <w:lvlJc w:val="right"/>
      <w:pPr>
        <w:ind w:left="863" w:hanging="420"/>
      </w:pPr>
    </w:lvl>
    <w:lvl w:ilvl="3" w:tentative="0">
      <w:start w:val="1"/>
      <w:numFmt w:val="decimal"/>
      <w:lvlText w:val="%4."/>
      <w:lvlJc w:val="left"/>
      <w:pPr>
        <w:ind w:left="1283" w:hanging="420"/>
      </w:pPr>
    </w:lvl>
    <w:lvl w:ilvl="4" w:tentative="0">
      <w:start w:val="1"/>
      <w:numFmt w:val="lowerLetter"/>
      <w:lvlText w:val="%5)"/>
      <w:lvlJc w:val="left"/>
      <w:pPr>
        <w:ind w:left="1703" w:hanging="420"/>
      </w:pPr>
    </w:lvl>
    <w:lvl w:ilvl="5" w:tentative="0">
      <w:start w:val="1"/>
      <w:numFmt w:val="lowerRoman"/>
      <w:lvlText w:val="%6."/>
      <w:lvlJc w:val="right"/>
      <w:pPr>
        <w:ind w:left="2123" w:hanging="420"/>
      </w:pPr>
    </w:lvl>
    <w:lvl w:ilvl="6" w:tentative="0">
      <w:start w:val="1"/>
      <w:numFmt w:val="decimal"/>
      <w:lvlText w:val="%7."/>
      <w:lvlJc w:val="left"/>
      <w:pPr>
        <w:ind w:left="2543" w:hanging="420"/>
      </w:pPr>
    </w:lvl>
    <w:lvl w:ilvl="7" w:tentative="0">
      <w:start w:val="1"/>
      <w:numFmt w:val="lowerLetter"/>
      <w:lvlText w:val="%8)"/>
      <w:lvlJc w:val="left"/>
      <w:pPr>
        <w:ind w:left="2963" w:hanging="420"/>
      </w:pPr>
    </w:lvl>
    <w:lvl w:ilvl="8" w:tentative="0">
      <w:start w:val="1"/>
      <w:numFmt w:val="lowerRoman"/>
      <w:lvlText w:val="%9."/>
      <w:lvlJc w:val="right"/>
      <w:pPr>
        <w:ind w:left="3383" w:hanging="420"/>
      </w:pPr>
    </w:lvl>
  </w:abstractNum>
  <w:abstractNum w:abstractNumId="3">
    <w:nsid w:val="14860CE5"/>
    <w:multiLevelType w:val="multilevel"/>
    <w:tmpl w:val="14860CE5"/>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4">
    <w:nsid w:val="193822BF"/>
    <w:multiLevelType w:val="multilevel"/>
    <w:tmpl w:val="193822BF"/>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5">
    <w:nsid w:val="2EC86B76"/>
    <w:multiLevelType w:val="multilevel"/>
    <w:tmpl w:val="2EC86B76"/>
    <w:lvl w:ilvl="0" w:tentative="0">
      <w:start w:val="1"/>
      <w:numFmt w:val="japaneseCounting"/>
      <w:lvlText w:val="%1、"/>
      <w:lvlJc w:val="left"/>
      <w:pPr>
        <w:ind w:left="1258" w:hanging="720"/>
      </w:pPr>
      <w:rPr>
        <w:rFonts w:hint="default"/>
      </w:rPr>
    </w:lvl>
    <w:lvl w:ilvl="1" w:tentative="0">
      <w:start w:val="1"/>
      <w:numFmt w:val="lowerLetter"/>
      <w:pStyle w:val="149"/>
      <w:lvlText w:val="%2)"/>
      <w:lvlJc w:val="left"/>
      <w:pPr>
        <w:ind w:left="1378"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6">
    <w:nsid w:val="30014EE9"/>
    <w:multiLevelType w:val="multilevel"/>
    <w:tmpl w:val="30014EE9"/>
    <w:lvl w:ilvl="0" w:tentative="0">
      <w:start w:val="1"/>
      <w:numFmt w:val="upperLetter"/>
      <w:pStyle w:val="151"/>
      <w:lvlText w:val="%1、"/>
      <w:lvlJc w:val="left"/>
      <w:pPr>
        <w:ind w:left="988" w:hanging="390"/>
      </w:pPr>
      <w:rPr>
        <w:rFonts w:hint="default"/>
      </w:rPr>
    </w:lvl>
    <w:lvl w:ilvl="1" w:tentative="0">
      <w:start w:val="1"/>
      <w:numFmt w:val="lowerLetter"/>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7">
    <w:nsid w:val="3A451854"/>
    <w:multiLevelType w:val="multilevel"/>
    <w:tmpl w:val="3A451854"/>
    <w:lvl w:ilvl="0" w:tentative="0">
      <w:start w:val="1"/>
      <w:numFmt w:val="chineseCountingThousand"/>
      <w:pStyle w:val="196"/>
      <w:lvlText w:val="第%1章 "/>
      <w:lvlJc w:val="left"/>
      <w:pPr>
        <w:tabs>
          <w:tab w:val="left" w:pos="425"/>
        </w:tabs>
        <w:ind w:left="0" w:firstLine="0"/>
      </w:pPr>
      <w:rPr>
        <w:rFonts w:hint="eastAsia" w:ascii="宋体" w:eastAsia="宋体"/>
        <w:b/>
        <w:i w:val="0"/>
        <w:sz w:val="32"/>
        <w:szCs w:val="32"/>
      </w:rPr>
    </w:lvl>
    <w:lvl w:ilvl="1" w:tentative="0">
      <w:start w:val="1"/>
      <w:numFmt w:val="decimal"/>
      <w:pStyle w:val="197"/>
      <w:lvlText w:val="第%2节"/>
      <w:lvlJc w:val="left"/>
      <w:pPr>
        <w:tabs>
          <w:tab w:val="left" w:pos="992"/>
        </w:tabs>
        <w:ind w:left="0" w:firstLine="0"/>
      </w:pPr>
      <w:rPr>
        <w:rFonts w:hint="eastAsia" w:ascii="宋体" w:eastAsia="宋体"/>
        <w:b/>
        <w:i w:val="0"/>
        <w:sz w:val="30"/>
        <w:szCs w:val="30"/>
      </w:rPr>
    </w:lvl>
    <w:lvl w:ilvl="2" w:tentative="0">
      <w:start w:val="1"/>
      <w:numFmt w:val="decimal"/>
      <w:pStyle w:val="198"/>
      <w:lvlText w:val="%3"/>
      <w:lvlJc w:val="left"/>
      <w:pPr>
        <w:tabs>
          <w:tab w:val="left" w:pos="567"/>
        </w:tabs>
        <w:ind w:left="0" w:firstLine="0"/>
      </w:pPr>
      <w:rPr>
        <w:rFonts w:hint="eastAsia" w:ascii="宋体" w:eastAsia="宋体"/>
        <w:b/>
        <w:i w:val="0"/>
        <w:sz w:val="24"/>
        <w:szCs w:val="24"/>
      </w:rPr>
    </w:lvl>
    <w:lvl w:ilvl="3" w:tentative="0">
      <w:start w:val="1"/>
      <w:numFmt w:val="decimal"/>
      <w:pStyle w:val="199"/>
      <w:lvlText w:val="%3.%4"/>
      <w:lvlJc w:val="left"/>
      <w:pPr>
        <w:tabs>
          <w:tab w:val="left" w:pos="737"/>
        </w:tabs>
        <w:ind w:left="0" w:firstLine="284"/>
      </w:pPr>
      <w:rPr>
        <w:rFonts w:hint="eastAsia" w:ascii="宋体" w:eastAsia="宋体"/>
        <w:b/>
        <w:i w:val="0"/>
        <w:sz w:val="24"/>
        <w:szCs w:val="24"/>
      </w:rPr>
    </w:lvl>
    <w:lvl w:ilvl="4" w:tentative="0">
      <w:start w:val="1"/>
      <w:numFmt w:val="decimal"/>
      <w:pStyle w:val="200"/>
      <w:lvlText w:val="6.4.%5"/>
      <w:lvlJc w:val="left"/>
      <w:pPr>
        <w:tabs>
          <w:tab w:val="left" w:pos="907"/>
        </w:tabs>
        <w:ind w:left="0" w:firstLine="0"/>
      </w:pPr>
      <w:rPr>
        <w:rFonts w:hint="eastAsia" w:ascii="宋体" w:eastAsia="宋体"/>
        <w:b w:val="0"/>
        <w:i w:val="0"/>
        <w:sz w:val="24"/>
        <w:szCs w:val="24"/>
      </w:rPr>
    </w:lvl>
    <w:lvl w:ilvl="5" w:tentative="0">
      <w:start w:val="1"/>
      <w:numFmt w:val="decimal"/>
      <w:pStyle w:val="201"/>
      <w:lvlText w:val="%3.%4.%5.%6"/>
      <w:lvlJc w:val="left"/>
      <w:pPr>
        <w:tabs>
          <w:tab w:val="left" w:pos="1021"/>
        </w:tabs>
        <w:ind w:left="0" w:firstLine="0"/>
      </w:pPr>
      <w:rPr>
        <w:rFonts w:hint="eastAsia" w:ascii="宋体" w:eastAsia="宋体"/>
        <w:b w:val="0"/>
        <w:i w:val="0"/>
        <w:sz w:val="24"/>
        <w:szCs w:val="24"/>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8">
    <w:nsid w:val="5A1920A2"/>
    <w:multiLevelType w:val="multilevel"/>
    <w:tmpl w:val="5A1920A2"/>
    <w:lvl w:ilvl="0" w:tentative="0">
      <w:start w:val="1"/>
      <w:numFmt w:val="decimal"/>
      <w:lvlText w:val="%1."/>
      <w:lvlJc w:val="left"/>
      <w:pPr>
        <w:tabs>
          <w:tab w:val="left" w:pos="312"/>
        </w:tabs>
      </w:pPr>
    </w:lvl>
    <w:lvl w:ilvl="1" w:tentative="0">
      <w:start w:val="3"/>
      <w:numFmt w:val="decimal"/>
      <w:isLgl/>
      <w:lvlText w:val="%1.%2"/>
      <w:lvlJc w:val="left"/>
      <w:pPr>
        <w:ind w:left="480" w:hanging="480"/>
      </w:pPr>
      <w:rPr>
        <w:rFonts w:hint="default"/>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1080" w:hanging="1080"/>
      </w:pPr>
      <w:rPr>
        <w:rFonts w:hint="default"/>
      </w:rPr>
    </w:lvl>
    <w:lvl w:ilvl="4" w:tentative="0">
      <w:start w:val="1"/>
      <w:numFmt w:val="decimal"/>
      <w:isLgl/>
      <w:lvlText w:val="%1.%2.%3.%4.%5"/>
      <w:lvlJc w:val="left"/>
      <w:pPr>
        <w:ind w:left="1080" w:hanging="1080"/>
      </w:pPr>
      <w:rPr>
        <w:rFonts w:hint="default"/>
      </w:rPr>
    </w:lvl>
    <w:lvl w:ilvl="5" w:tentative="0">
      <w:start w:val="1"/>
      <w:numFmt w:val="decimal"/>
      <w:isLgl/>
      <w:lvlText w:val="%1.%2.%3.%4.%5.%6"/>
      <w:lvlJc w:val="left"/>
      <w:pPr>
        <w:ind w:left="1440" w:hanging="1440"/>
      </w:pPr>
      <w:rPr>
        <w:rFonts w:hint="default"/>
      </w:rPr>
    </w:lvl>
    <w:lvl w:ilvl="6" w:tentative="0">
      <w:start w:val="1"/>
      <w:numFmt w:val="decimal"/>
      <w:isLgl/>
      <w:lvlText w:val="%1.%2.%3.%4.%5.%6.%7"/>
      <w:lvlJc w:val="left"/>
      <w:pPr>
        <w:ind w:left="1800" w:hanging="1800"/>
      </w:pPr>
      <w:rPr>
        <w:rFonts w:hint="default"/>
      </w:rPr>
    </w:lvl>
    <w:lvl w:ilvl="7" w:tentative="0">
      <w:start w:val="1"/>
      <w:numFmt w:val="decimal"/>
      <w:isLgl/>
      <w:lvlText w:val="%1.%2.%3.%4.%5.%6.%7.%8"/>
      <w:lvlJc w:val="left"/>
      <w:pPr>
        <w:ind w:left="1800" w:hanging="1800"/>
      </w:pPr>
      <w:rPr>
        <w:rFonts w:hint="default"/>
      </w:rPr>
    </w:lvl>
    <w:lvl w:ilvl="8" w:tentative="0">
      <w:start w:val="1"/>
      <w:numFmt w:val="decimal"/>
      <w:isLgl/>
      <w:lvlText w:val="%1.%2.%3.%4.%5.%6.%7.%8.%9"/>
      <w:lvlJc w:val="left"/>
      <w:pPr>
        <w:ind w:left="2160" w:hanging="2160"/>
      </w:pPr>
      <w:rPr>
        <w:rFonts w:hint="default"/>
      </w:rPr>
    </w:lvl>
  </w:abstractNum>
  <w:abstractNum w:abstractNumId="9">
    <w:nsid w:val="5A241D34"/>
    <w:multiLevelType w:val="multilevel"/>
    <w:tmpl w:val="5A241D34"/>
    <w:lvl w:ilvl="0" w:tentative="0">
      <w:start w:val="1"/>
      <w:numFmt w:val="decimal"/>
      <w:pStyle w:val="17"/>
      <w:lvlText w:val="%1."/>
      <w:lvlJc w:val="left"/>
      <w:pPr>
        <w:ind w:left="6778" w:hanging="6300"/>
      </w:pPr>
      <w:rPr>
        <w:rFonts w:hint="default" w:ascii="Times New Roman" w:hAnsi="Times New Roman" w:eastAsia="Times New Roman" w:cs="Times New Roman"/>
        <w:w w:val="100"/>
        <w:sz w:val="24"/>
        <w:szCs w:val="24"/>
      </w:rPr>
    </w:lvl>
    <w:lvl w:ilvl="1" w:tentative="0">
      <w:start w:val="0"/>
      <w:numFmt w:val="bullet"/>
      <w:lvlText w:val="•"/>
      <w:lvlJc w:val="left"/>
      <w:pPr>
        <w:ind w:left="7061" w:hanging="6300"/>
      </w:pPr>
      <w:rPr>
        <w:rFonts w:hint="default"/>
      </w:rPr>
    </w:lvl>
    <w:lvl w:ilvl="2" w:tentative="0">
      <w:start w:val="0"/>
      <w:numFmt w:val="bullet"/>
      <w:lvlText w:val="•"/>
      <w:lvlJc w:val="left"/>
      <w:pPr>
        <w:ind w:left="7342" w:hanging="6300"/>
      </w:pPr>
      <w:rPr>
        <w:rFonts w:hint="default"/>
      </w:rPr>
    </w:lvl>
    <w:lvl w:ilvl="3" w:tentative="0">
      <w:start w:val="0"/>
      <w:numFmt w:val="bullet"/>
      <w:lvlText w:val="•"/>
      <w:lvlJc w:val="left"/>
      <w:pPr>
        <w:ind w:left="7623" w:hanging="6300"/>
      </w:pPr>
      <w:rPr>
        <w:rFonts w:hint="default"/>
      </w:rPr>
    </w:lvl>
    <w:lvl w:ilvl="4" w:tentative="0">
      <w:start w:val="0"/>
      <w:numFmt w:val="bullet"/>
      <w:lvlText w:val="•"/>
      <w:lvlJc w:val="left"/>
      <w:pPr>
        <w:ind w:left="7904" w:hanging="6300"/>
      </w:pPr>
      <w:rPr>
        <w:rFonts w:hint="default"/>
      </w:rPr>
    </w:lvl>
    <w:lvl w:ilvl="5" w:tentative="0">
      <w:start w:val="0"/>
      <w:numFmt w:val="bullet"/>
      <w:lvlText w:val="•"/>
      <w:lvlJc w:val="left"/>
      <w:pPr>
        <w:ind w:left="8185" w:hanging="6300"/>
      </w:pPr>
      <w:rPr>
        <w:rFonts w:hint="default"/>
      </w:rPr>
    </w:lvl>
    <w:lvl w:ilvl="6" w:tentative="0">
      <w:start w:val="0"/>
      <w:numFmt w:val="bullet"/>
      <w:lvlText w:val="•"/>
      <w:lvlJc w:val="left"/>
      <w:pPr>
        <w:ind w:left="8466" w:hanging="6300"/>
      </w:pPr>
      <w:rPr>
        <w:rFonts w:hint="default"/>
      </w:rPr>
    </w:lvl>
    <w:lvl w:ilvl="7" w:tentative="0">
      <w:start w:val="0"/>
      <w:numFmt w:val="bullet"/>
      <w:lvlText w:val="•"/>
      <w:lvlJc w:val="left"/>
      <w:pPr>
        <w:ind w:left="8747" w:hanging="6300"/>
      </w:pPr>
      <w:rPr>
        <w:rFonts w:hint="default"/>
      </w:rPr>
    </w:lvl>
    <w:lvl w:ilvl="8" w:tentative="0">
      <w:start w:val="0"/>
      <w:numFmt w:val="bullet"/>
      <w:lvlText w:val="•"/>
      <w:lvlJc w:val="left"/>
      <w:pPr>
        <w:ind w:left="9028" w:hanging="6300"/>
      </w:pPr>
      <w:rPr>
        <w:rFonts w:hint="default"/>
      </w:rPr>
    </w:lvl>
  </w:abstractNum>
  <w:abstractNum w:abstractNumId="10">
    <w:nsid w:val="60350D40"/>
    <w:multiLevelType w:val="multilevel"/>
    <w:tmpl w:val="60350D40"/>
    <w:lvl w:ilvl="0" w:tentative="0">
      <w:start w:val="1"/>
      <w:numFmt w:val="japaneseCounting"/>
      <w:lvlText w:val="%1、"/>
      <w:lvlJc w:val="left"/>
      <w:pPr>
        <w:ind w:left="832" w:hanging="420"/>
      </w:pPr>
      <w:rPr>
        <w:rFonts w:hint="default"/>
      </w:rPr>
    </w:lvl>
    <w:lvl w:ilvl="1" w:tentative="0">
      <w:start w:val="1"/>
      <w:numFmt w:val="lowerLetter"/>
      <w:lvlText w:val="%2)"/>
      <w:lvlJc w:val="left"/>
      <w:pPr>
        <w:ind w:left="1252" w:hanging="420"/>
      </w:pPr>
    </w:lvl>
    <w:lvl w:ilvl="2" w:tentative="0">
      <w:start w:val="1"/>
      <w:numFmt w:val="lowerRoman"/>
      <w:lvlText w:val="%3."/>
      <w:lvlJc w:val="right"/>
      <w:pPr>
        <w:ind w:left="1672" w:hanging="420"/>
      </w:pPr>
    </w:lvl>
    <w:lvl w:ilvl="3" w:tentative="0">
      <w:start w:val="1"/>
      <w:numFmt w:val="decimal"/>
      <w:lvlText w:val="%4."/>
      <w:lvlJc w:val="left"/>
      <w:pPr>
        <w:ind w:left="2092" w:hanging="420"/>
      </w:pPr>
    </w:lvl>
    <w:lvl w:ilvl="4" w:tentative="0">
      <w:start w:val="1"/>
      <w:numFmt w:val="lowerLetter"/>
      <w:lvlText w:val="%5)"/>
      <w:lvlJc w:val="left"/>
      <w:pPr>
        <w:ind w:left="2512" w:hanging="420"/>
      </w:pPr>
    </w:lvl>
    <w:lvl w:ilvl="5" w:tentative="0">
      <w:start w:val="1"/>
      <w:numFmt w:val="lowerRoman"/>
      <w:lvlText w:val="%6."/>
      <w:lvlJc w:val="right"/>
      <w:pPr>
        <w:ind w:left="2932" w:hanging="420"/>
      </w:pPr>
    </w:lvl>
    <w:lvl w:ilvl="6" w:tentative="0">
      <w:start w:val="1"/>
      <w:numFmt w:val="decimal"/>
      <w:lvlText w:val="%7."/>
      <w:lvlJc w:val="left"/>
      <w:pPr>
        <w:ind w:left="3352" w:hanging="420"/>
      </w:pPr>
    </w:lvl>
    <w:lvl w:ilvl="7" w:tentative="0">
      <w:start w:val="1"/>
      <w:numFmt w:val="lowerLetter"/>
      <w:lvlText w:val="%8)"/>
      <w:lvlJc w:val="left"/>
      <w:pPr>
        <w:ind w:left="3772" w:hanging="420"/>
      </w:pPr>
    </w:lvl>
    <w:lvl w:ilvl="8" w:tentative="0">
      <w:start w:val="1"/>
      <w:numFmt w:val="lowerRoman"/>
      <w:lvlText w:val="%9."/>
      <w:lvlJc w:val="right"/>
      <w:pPr>
        <w:ind w:left="4192" w:hanging="420"/>
      </w:pPr>
    </w:lvl>
  </w:abstractNum>
  <w:abstractNum w:abstractNumId="11">
    <w:nsid w:val="6AC72BA6"/>
    <w:multiLevelType w:val="multilevel"/>
    <w:tmpl w:val="6AC72BA6"/>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12">
    <w:nsid w:val="77664D5D"/>
    <w:multiLevelType w:val="multilevel"/>
    <w:tmpl w:val="77664D5D"/>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num w:numId="1">
    <w:abstractNumId w:val="9"/>
  </w:num>
  <w:num w:numId="2">
    <w:abstractNumId w:val="0"/>
  </w:num>
  <w:num w:numId="3">
    <w:abstractNumId w:val="5"/>
  </w:num>
  <w:num w:numId="4">
    <w:abstractNumId w:val="6"/>
  </w:num>
  <w:num w:numId="5">
    <w:abstractNumId w:val="7"/>
  </w:num>
  <w:num w:numId="6">
    <w:abstractNumId w:val="10"/>
  </w:num>
  <w:num w:numId="7">
    <w:abstractNumId w:val="1"/>
  </w:num>
  <w:num w:numId="8">
    <w:abstractNumId w:val="11"/>
  </w:num>
  <w:num w:numId="9">
    <w:abstractNumId w:val="4"/>
  </w:num>
  <w:num w:numId="10">
    <w:abstractNumId w:val="3"/>
  </w:num>
  <w:num w:numId="11">
    <w:abstractNumId w:val="12"/>
  </w:num>
  <w:num w:numId="12">
    <w:abstractNumId w:val="8"/>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trackRevisions w:val="1"/>
  <w:documentProtection w:enforcement="0"/>
  <w:defaultTabStop w:val="720"/>
  <w:drawingGridHorizontalSpacing w:val="110"/>
  <w:drawingGridVerticalSpacing w:val="156"/>
  <w:displayHorizontalDrawingGridEvery w:val="2"/>
  <w:displayVerticalDrawingGridEvery w:val="2"/>
  <w:characterSpacingControl w:val="doNotCompress"/>
  <w:compat>
    <w:ulTrailSpace/>
    <w:useFELayout/>
    <w:compatSetting w:name="compatibilityMode" w:uri="http://schemas.microsoft.com/office/word" w:val="12"/>
  </w:compat>
  <w:docVars>
    <w:docVar w:name="commondata" w:val="eyJoZGlkIjoiY2IwMTZlMzg5MzQyYjhmMjU1MzdiYjRjMzljOGZlZTgifQ=="/>
  </w:docVars>
  <w:rsids>
    <w:rsidRoot w:val="00967702"/>
    <w:rsid w:val="000004E6"/>
    <w:rsid w:val="000010FA"/>
    <w:rsid w:val="00001416"/>
    <w:rsid w:val="000034C1"/>
    <w:rsid w:val="00004C5E"/>
    <w:rsid w:val="00012C1F"/>
    <w:rsid w:val="00024F81"/>
    <w:rsid w:val="00025717"/>
    <w:rsid w:val="000277D1"/>
    <w:rsid w:val="00027CD0"/>
    <w:rsid w:val="00033BD1"/>
    <w:rsid w:val="000367ED"/>
    <w:rsid w:val="00037D7F"/>
    <w:rsid w:val="0004282D"/>
    <w:rsid w:val="00044F6E"/>
    <w:rsid w:val="0004527A"/>
    <w:rsid w:val="000473AB"/>
    <w:rsid w:val="00052C0E"/>
    <w:rsid w:val="000532FB"/>
    <w:rsid w:val="00057E4C"/>
    <w:rsid w:val="00060DB7"/>
    <w:rsid w:val="00064FAA"/>
    <w:rsid w:val="00065B07"/>
    <w:rsid w:val="00065E22"/>
    <w:rsid w:val="000674E3"/>
    <w:rsid w:val="00074760"/>
    <w:rsid w:val="00075037"/>
    <w:rsid w:val="000776B6"/>
    <w:rsid w:val="00082566"/>
    <w:rsid w:val="00085CA2"/>
    <w:rsid w:val="00092243"/>
    <w:rsid w:val="0009500D"/>
    <w:rsid w:val="00095097"/>
    <w:rsid w:val="000962C0"/>
    <w:rsid w:val="000A1AED"/>
    <w:rsid w:val="000A1C86"/>
    <w:rsid w:val="000A6182"/>
    <w:rsid w:val="000A6CA9"/>
    <w:rsid w:val="000B0914"/>
    <w:rsid w:val="000B10B3"/>
    <w:rsid w:val="000B14BE"/>
    <w:rsid w:val="000B632E"/>
    <w:rsid w:val="000C1FDC"/>
    <w:rsid w:val="000C3052"/>
    <w:rsid w:val="000C57EB"/>
    <w:rsid w:val="000C629C"/>
    <w:rsid w:val="000C670C"/>
    <w:rsid w:val="000D02D0"/>
    <w:rsid w:val="000D1AB8"/>
    <w:rsid w:val="000D35CF"/>
    <w:rsid w:val="000D51F3"/>
    <w:rsid w:val="000E505B"/>
    <w:rsid w:val="000F0907"/>
    <w:rsid w:val="000F116F"/>
    <w:rsid w:val="000F15E9"/>
    <w:rsid w:val="000F27AD"/>
    <w:rsid w:val="000F39C1"/>
    <w:rsid w:val="000F4255"/>
    <w:rsid w:val="000F5CA8"/>
    <w:rsid w:val="00101100"/>
    <w:rsid w:val="0010294B"/>
    <w:rsid w:val="0011079D"/>
    <w:rsid w:val="00111D19"/>
    <w:rsid w:val="00112931"/>
    <w:rsid w:val="001150C5"/>
    <w:rsid w:val="001166AC"/>
    <w:rsid w:val="00117C85"/>
    <w:rsid w:val="00122E24"/>
    <w:rsid w:val="0012681B"/>
    <w:rsid w:val="00127D0C"/>
    <w:rsid w:val="00130886"/>
    <w:rsid w:val="00135685"/>
    <w:rsid w:val="00135AC9"/>
    <w:rsid w:val="00142384"/>
    <w:rsid w:val="00142830"/>
    <w:rsid w:val="00146977"/>
    <w:rsid w:val="001507FD"/>
    <w:rsid w:val="00150CB0"/>
    <w:rsid w:val="00154D53"/>
    <w:rsid w:val="00154EB4"/>
    <w:rsid w:val="00160718"/>
    <w:rsid w:val="0016342E"/>
    <w:rsid w:val="00165374"/>
    <w:rsid w:val="001660AB"/>
    <w:rsid w:val="0016799E"/>
    <w:rsid w:val="00171C29"/>
    <w:rsid w:val="00172F4B"/>
    <w:rsid w:val="00177E03"/>
    <w:rsid w:val="0018116F"/>
    <w:rsid w:val="00182B0E"/>
    <w:rsid w:val="00183E34"/>
    <w:rsid w:val="0018475A"/>
    <w:rsid w:val="00185C58"/>
    <w:rsid w:val="00186053"/>
    <w:rsid w:val="001861E4"/>
    <w:rsid w:val="00190E02"/>
    <w:rsid w:val="00191171"/>
    <w:rsid w:val="00192465"/>
    <w:rsid w:val="00193470"/>
    <w:rsid w:val="001937BF"/>
    <w:rsid w:val="00193817"/>
    <w:rsid w:val="00195D79"/>
    <w:rsid w:val="001A16EB"/>
    <w:rsid w:val="001A1FAE"/>
    <w:rsid w:val="001A687C"/>
    <w:rsid w:val="001A6EE7"/>
    <w:rsid w:val="001B07AA"/>
    <w:rsid w:val="001B5997"/>
    <w:rsid w:val="001B5CD4"/>
    <w:rsid w:val="001B698B"/>
    <w:rsid w:val="001C0DB4"/>
    <w:rsid w:val="001C262D"/>
    <w:rsid w:val="001C5843"/>
    <w:rsid w:val="001D13DE"/>
    <w:rsid w:val="001D296E"/>
    <w:rsid w:val="001D5232"/>
    <w:rsid w:val="001E3C0E"/>
    <w:rsid w:val="001F223E"/>
    <w:rsid w:val="001F3956"/>
    <w:rsid w:val="001F3D0A"/>
    <w:rsid w:val="002009DB"/>
    <w:rsid w:val="00200CED"/>
    <w:rsid w:val="0020141D"/>
    <w:rsid w:val="00202535"/>
    <w:rsid w:val="002108DC"/>
    <w:rsid w:val="00212F06"/>
    <w:rsid w:val="0021416E"/>
    <w:rsid w:val="00222711"/>
    <w:rsid w:val="00226CA9"/>
    <w:rsid w:val="00227556"/>
    <w:rsid w:val="002305DA"/>
    <w:rsid w:val="002318C1"/>
    <w:rsid w:val="00233571"/>
    <w:rsid w:val="002336A1"/>
    <w:rsid w:val="00234305"/>
    <w:rsid w:val="002405C4"/>
    <w:rsid w:val="00241E6B"/>
    <w:rsid w:val="00242301"/>
    <w:rsid w:val="002427A9"/>
    <w:rsid w:val="00242F28"/>
    <w:rsid w:val="002431E7"/>
    <w:rsid w:val="002451B2"/>
    <w:rsid w:val="0024625A"/>
    <w:rsid w:val="00257774"/>
    <w:rsid w:val="002578E6"/>
    <w:rsid w:val="00261147"/>
    <w:rsid w:val="00263085"/>
    <w:rsid w:val="002648A2"/>
    <w:rsid w:val="00270CE4"/>
    <w:rsid w:val="00273DCB"/>
    <w:rsid w:val="002806D5"/>
    <w:rsid w:val="00282649"/>
    <w:rsid w:val="002855A5"/>
    <w:rsid w:val="0028590A"/>
    <w:rsid w:val="002859D4"/>
    <w:rsid w:val="00285F4F"/>
    <w:rsid w:val="00287A75"/>
    <w:rsid w:val="00290B7A"/>
    <w:rsid w:val="00290FCD"/>
    <w:rsid w:val="0029252E"/>
    <w:rsid w:val="002971E6"/>
    <w:rsid w:val="002A1694"/>
    <w:rsid w:val="002A4126"/>
    <w:rsid w:val="002A5B25"/>
    <w:rsid w:val="002A68F0"/>
    <w:rsid w:val="002B042F"/>
    <w:rsid w:val="002B255F"/>
    <w:rsid w:val="002B3B47"/>
    <w:rsid w:val="002B6416"/>
    <w:rsid w:val="002B6EB1"/>
    <w:rsid w:val="002C10D3"/>
    <w:rsid w:val="002C2C6C"/>
    <w:rsid w:val="002C4D80"/>
    <w:rsid w:val="002C6919"/>
    <w:rsid w:val="002C6A2D"/>
    <w:rsid w:val="002D496D"/>
    <w:rsid w:val="002D4CF8"/>
    <w:rsid w:val="002D5458"/>
    <w:rsid w:val="002E0F0C"/>
    <w:rsid w:val="002E1AE9"/>
    <w:rsid w:val="002E3036"/>
    <w:rsid w:val="002E49DF"/>
    <w:rsid w:val="002E4BCB"/>
    <w:rsid w:val="002E4DB0"/>
    <w:rsid w:val="002E6175"/>
    <w:rsid w:val="002F0B99"/>
    <w:rsid w:val="002F34BA"/>
    <w:rsid w:val="002F68D6"/>
    <w:rsid w:val="002F755A"/>
    <w:rsid w:val="003053B9"/>
    <w:rsid w:val="003102D1"/>
    <w:rsid w:val="003116F3"/>
    <w:rsid w:val="00312DD9"/>
    <w:rsid w:val="003221F4"/>
    <w:rsid w:val="00322502"/>
    <w:rsid w:val="00322549"/>
    <w:rsid w:val="00331810"/>
    <w:rsid w:val="0033277A"/>
    <w:rsid w:val="003335CD"/>
    <w:rsid w:val="003344D9"/>
    <w:rsid w:val="00335435"/>
    <w:rsid w:val="00336442"/>
    <w:rsid w:val="00342B24"/>
    <w:rsid w:val="003456D2"/>
    <w:rsid w:val="00347C37"/>
    <w:rsid w:val="00347CA1"/>
    <w:rsid w:val="00350BD1"/>
    <w:rsid w:val="003603CD"/>
    <w:rsid w:val="00363568"/>
    <w:rsid w:val="003635DF"/>
    <w:rsid w:val="00363AF6"/>
    <w:rsid w:val="00364EB1"/>
    <w:rsid w:val="00365235"/>
    <w:rsid w:val="00365CCD"/>
    <w:rsid w:val="00373697"/>
    <w:rsid w:val="00376FF9"/>
    <w:rsid w:val="003773F1"/>
    <w:rsid w:val="00383DFA"/>
    <w:rsid w:val="00385474"/>
    <w:rsid w:val="00385EC3"/>
    <w:rsid w:val="00387574"/>
    <w:rsid w:val="003B0DDA"/>
    <w:rsid w:val="003B135A"/>
    <w:rsid w:val="003B3C4F"/>
    <w:rsid w:val="003B3F6B"/>
    <w:rsid w:val="003B6804"/>
    <w:rsid w:val="003B7CBD"/>
    <w:rsid w:val="003C1AF2"/>
    <w:rsid w:val="003E1616"/>
    <w:rsid w:val="003E1D01"/>
    <w:rsid w:val="003E37C1"/>
    <w:rsid w:val="003F3600"/>
    <w:rsid w:val="003F5B96"/>
    <w:rsid w:val="003F614D"/>
    <w:rsid w:val="003F6A6B"/>
    <w:rsid w:val="003F734D"/>
    <w:rsid w:val="0040208E"/>
    <w:rsid w:val="004022EC"/>
    <w:rsid w:val="0040377B"/>
    <w:rsid w:val="0040417A"/>
    <w:rsid w:val="00405092"/>
    <w:rsid w:val="00410C69"/>
    <w:rsid w:val="00413501"/>
    <w:rsid w:val="00414B8A"/>
    <w:rsid w:val="00420B50"/>
    <w:rsid w:val="00420DB7"/>
    <w:rsid w:val="00423EFE"/>
    <w:rsid w:val="00432036"/>
    <w:rsid w:val="004329D6"/>
    <w:rsid w:val="00437706"/>
    <w:rsid w:val="00437CA2"/>
    <w:rsid w:val="00445AF9"/>
    <w:rsid w:val="00461141"/>
    <w:rsid w:val="00465443"/>
    <w:rsid w:val="00465D19"/>
    <w:rsid w:val="00470BD0"/>
    <w:rsid w:val="00470C1A"/>
    <w:rsid w:val="004717B3"/>
    <w:rsid w:val="0047282D"/>
    <w:rsid w:val="0047402F"/>
    <w:rsid w:val="00481DEF"/>
    <w:rsid w:val="004835AF"/>
    <w:rsid w:val="00490A62"/>
    <w:rsid w:val="0049126B"/>
    <w:rsid w:val="00492D04"/>
    <w:rsid w:val="004941B1"/>
    <w:rsid w:val="00494C07"/>
    <w:rsid w:val="004A46AD"/>
    <w:rsid w:val="004A498D"/>
    <w:rsid w:val="004A73DA"/>
    <w:rsid w:val="004C16AE"/>
    <w:rsid w:val="004C4B54"/>
    <w:rsid w:val="004D6A19"/>
    <w:rsid w:val="004E6929"/>
    <w:rsid w:val="004E70F9"/>
    <w:rsid w:val="00500D74"/>
    <w:rsid w:val="0050281E"/>
    <w:rsid w:val="00503AE3"/>
    <w:rsid w:val="00505560"/>
    <w:rsid w:val="005108E8"/>
    <w:rsid w:val="00511FE9"/>
    <w:rsid w:val="00513D5D"/>
    <w:rsid w:val="005142EF"/>
    <w:rsid w:val="00514AFE"/>
    <w:rsid w:val="00514F20"/>
    <w:rsid w:val="00515770"/>
    <w:rsid w:val="00517614"/>
    <w:rsid w:val="0052152E"/>
    <w:rsid w:val="00533119"/>
    <w:rsid w:val="005339E0"/>
    <w:rsid w:val="005345C8"/>
    <w:rsid w:val="005369F4"/>
    <w:rsid w:val="0054027F"/>
    <w:rsid w:val="005450AA"/>
    <w:rsid w:val="00547AD0"/>
    <w:rsid w:val="005518F3"/>
    <w:rsid w:val="00555E59"/>
    <w:rsid w:val="00562B68"/>
    <w:rsid w:val="00565CF8"/>
    <w:rsid w:val="00570051"/>
    <w:rsid w:val="00570507"/>
    <w:rsid w:val="00571148"/>
    <w:rsid w:val="00573407"/>
    <w:rsid w:val="00575414"/>
    <w:rsid w:val="0057705C"/>
    <w:rsid w:val="005814ED"/>
    <w:rsid w:val="00581B11"/>
    <w:rsid w:val="005835C8"/>
    <w:rsid w:val="0058671D"/>
    <w:rsid w:val="00591CB8"/>
    <w:rsid w:val="005920C8"/>
    <w:rsid w:val="00593DEA"/>
    <w:rsid w:val="00594509"/>
    <w:rsid w:val="00595F8F"/>
    <w:rsid w:val="005A060B"/>
    <w:rsid w:val="005A4D52"/>
    <w:rsid w:val="005B4BA0"/>
    <w:rsid w:val="005B6211"/>
    <w:rsid w:val="005C5554"/>
    <w:rsid w:val="005C5A66"/>
    <w:rsid w:val="005C6A76"/>
    <w:rsid w:val="005D5BB2"/>
    <w:rsid w:val="005E2211"/>
    <w:rsid w:val="005E2CFD"/>
    <w:rsid w:val="005E2EB3"/>
    <w:rsid w:val="005E5C0A"/>
    <w:rsid w:val="005E7AF2"/>
    <w:rsid w:val="005F1FD6"/>
    <w:rsid w:val="005F21D1"/>
    <w:rsid w:val="005F2663"/>
    <w:rsid w:val="005F2C1D"/>
    <w:rsid w:val="005F32BA"/>
    <w:rsid w:val="005F4BA4"/>
    <w:rsid w:val="006009AD"/>
    <w:rsid w:val="00601E8D"/>
    <w:rsid w:val="00601EA4"/>
    <w:rsid w:val="00603968"/>
    <w:rsid w:val="00604818"/>
    <w:rsid w:val="00606875"/>
    <w:rsid w:val="00606A94"/>
    <w:rsid w:val="006149C8"/>
    <w:rsid w:val="006152B6"/>
    <w:rsid w:val="00621B6A"/>
    <w:rsid w:val="006238C7"/>
    <w:rsid w:val="006238EE"/>
    <w:rsid w:val="00624F51"/>
    <w:rsid w:val="006268B0"/>
    <w:rsid w:val="00630128"/>
    <w:rsid w:val="00630AA0"/>
    <w:rsid w:val="006312AB"/>
    <w:rsid w:val="00631F92"/>
    <w:rsid w:val="00632468"/>
    <w:rsid w:val="00632E52"/>
    <w:rsid w:val="00635DFC"/>
    <w:rsid w:val="00641505"/>
    <w:rsid w:val="00642E61"/>
    <w:rsid w:val="00643209"/>
    <w:rsid w:val="006458DE"/>
    <w:rsid w:val="0065429C"/>
    <w:rsid w:val="00657D2D"/>
    <w:rsid w:val="00660FB5"/>
    <w:rsid w:val="00662D8C"/>
    <w:rsid w:val="006631EB"/>
    <w:rsid w:val="00664A57"/>
    <w:rsid w:val="00664E56"/>
    <w:rsid w:val="00670BB5"/>
    <w:rsid w:val="0068543C"/>
    <w:rsid w:val="00691BF5"/>
    <w:rsid w:val="006940F9"/>
    <w:rsid w:val="00694667"/>
    <w:rsid w:val="006A232A"/>
    <w:rsid w:val="006A70E8"/>
    <w:rsid w:val="006A79DD"/>
    <w:rsid w:val="006A7D0D"/>
    <w:rsid w:val="006A7EA8"/>
    <w:rsid w:val="006B21C2"/>
    <w:rsid w:val="006B2D7D"/>
    <w:rsid w:val="006B2DC1"/>
    <w:rsid w:val="006B3CB3"/>
    <w:rsid w:val="006B5E39"/>
    <w:rsid w:val="006B79D7"/>
    <w:rsid w:val="006C1395"/>
    <w:rsid w:val="006C3A25"/>
    <w:rsid w:val="006C658F"/>
    <w:rsid w:val="006C775E"/>
    <w:rsid w:val="006D0B52"/>
    <w:rsid w:val="006D4F96"/>
    <w:rsid w:val="006E0A7C"/>
    <w:rsid w:val="006E0FCB"/>
    <w:rsid w:val="006E25FB"/>
    <w:rsid w:val="006E2CD7"/>
    <w:rsid w:val="006E3B36"/>
    <w:rsid w:val="006E6D55"/>
    <w:rsid w:val="006E75F8"/>
    <w:rsid w:val="006F0262"/>
    <w:rsid w:val="006F0CD0"/>
    <w:rsid w:val="0070006F"/>
    <w:rsid w:val="007009D7"/>
    <w:rsid w:val="00701816"/>
    <w:rsid w:val="00701DE6"/>
    <w:rsid w:val="0070392A"/>
    <w:rsid w:val="007072CB"/>
    <w:rsid w:val="0071080A"/>
    <w:rsid w:val="00711047"/>
    <w:rsid w:val="00714008"/>
    <w:rsid w:val="00714DA2"/>
    <w:rsid w:val="007279F5"/>
    <w:rsid w:val="00732878"/>
    <w:rsid w:val="00732ADE"/>
    <w:rsid w:val="00733A20"/>
    <w:rsid w:val="0073742A"/>
    <w:rsid w:val="007422CA"/>
    <w:rsid w:val="0074361D"/>
    <w:rsid w:val="00744113"/>
    <w:rsid w:val="00745001"/>
    <w:rsid w:val="00745779"/>
    <w:rsid w:val="00746DBA"/>
    <w:rsid w:val="00750C81"/>
    <w:rsid w:val="00753C0F"/>
    <w:rsid w:val="007540CE"/>
    <w:rsid w:val="00755D55"/>
    <w:rsid w:val="00755E15"/>
    <w:rsid w:val="007601EF"/>
    <w:rsid w:val="00760373"/>
    <w:rsid w:val="00763312"/>
    <w:rsid w:val="00763448"/>
    <w:rsid w:val="00763C19"/>
    <w:rsid w:val="00763FA7"/>
    <w:rsid w:val="0076633E"/>
    <w:rsid w:val="007678FB"/>
    <w:rsid w:val="0077376D"/>
    <w:rsid w:val="00776036"/>
    <w:rsid w:val="00784E79"/>
    <w:rsid w:val="00786BE0"/>
    <w:rsid w:val="0079385E"/>
    <w:rsid w:val="00794F72"/>
    <w:rsid w:val="00795740"/>
    <w:rsid w:val="007A46C0"/>
    <w:rsid w:val="007B7828"/>
    <w:rsid w:val="007C2B12"/>
    <w:rsid w:val="007C6297"/>
    <w:rsid w:val="007C7F5F"/>
    <w:rsid w:val="007D088C"/>
    <w:rsid w:val="007D17EF"/>
    <w:rsid w:val="007D2272"/>
    <w:rsid w:val="007D2D34"/>
    <w:rsid w:val="007D4DFC"/>
    <w:rsid w:val="007D5A7E"/>
    <w:rsid w:val="007D5F37"/>
    <w:rsid w:val="007D6D04"/>
    <w:rsid w:val="007D7FCA"/>
    <w:rsid w:val="007E67FB"/>
    <w:rsid w:val="007E6CD1"/>
    <w:rsid w:val="007F06B2"/>
    <w:rsid w:val="007F16A9"/>
    <w:rsid w:val="007F3EB5"/>
    <w:rsid w:val="007F61D0"/>
    <w:rsid w:val="00800552"/>
    <w:rsid w:val="00804A52"/>
    <w:rsid w:val="00811DBA"/>
    <w:rsid w:val="008263B0"/>
    <w:rsid w:val="008265ED"/>
    <w:rsid w:val="00826D77"/>
    <w:rsid w:val="00827963"/>
    <w:rsid w:val="008279D0"/>
    <w:rsid w:val="0083195F"/>
    <w:rsid w:val="0083252A"/>
    <w:rsid w:val="008367BA"/>
    <w:rsid w:val="0084007B"/>
    <w:rsid w:val="00840870"/>
    <w:rsid w:val="00840AC9"/>
    <w:rsid w:val="008433A6"/>
    <w:rsid w:val="0085290F"/>
    <w:rsid w:val="00855428"/>
    <w:rsid w:val="00856C06"/>
    <w:rsid w:val="00856CF7"/>
    <w:rsid w:val="00856E19"/>
    <w:rsid w:val="00861B65"/>
    <w:rsid w:val="008622DD"/>
    <w:rsid w:val="00862896"/>
    <w:rsid w:val="00863F3D"/>
    <w:rsid w:val="008655EE"/>
    <w:rsid w:val="00870057"/>
    <w:rsid w:val="008725C6"/>
    <w:rsid w:val="00873238"/>
    <w:rsid w:val="00874C29"/>
    <w:rsid w:val="008763B6"/>
    <w:rsid w:val="00876586"/>
    <w:rsid w:val="00881942"/>
    <w:rsid w:val="00885D5E"/>
    <w:rsid w:val="008959EC"/>
    <w:rsid w:val="00895AAC"/>
    <w:rsid w:val="008A28CB"/>
    <w:rsid w:val="008A3A57"/>
    <w:rsid w:val="008A6303"/>
    <w:rsid w:val="008A6470"/>
    <w:rsid w:val="008B4179"/>
    <w:rsid w:val="008D1F55"/>
    <w:rsid w:val="008E097D"/>
    <w:rsid w:val="008E16D2"/>
    <w:rsid w:val="008E1769"/>
    <w:rsid w:val="008E1F3F"/>
    <w:rsid w:val="008E2155"/>
    <w:rsid w:val="008E5198"/>
    <w:rsid w:val="008F3053"/>
    <w:rsid w:val="008F3559"/>
    <w:rsid w:val="009032FB"/>
    <w:rsid w:val="009045E9"/>
    <w:rsid w:val="009051A7"/>
    <w:rsid w:val="0091066D"/>
    <w:rsid w:val="00915274"/>
    <w:rsid w:val="00917368"/>
    <w:rsid w:val="00921C11"/>
    <w:rsid w:val="00930487"/>
    <w:rsid w:val="009312CA"/>
    <w:rsid w:val="009353D9"/>
    <w:rsid w:val="0093714A"/>
    <w:rsid w:val="00937414"/>
    <w:rsid w:val="00952F8D"/>
    <w:rsid w:val="00955A6F"/>
    <w:rsid w:val="00962D11"/>
    <w:rsid w:val="00964F96"/>
    <w:rsid w:val="009663D1"/>
    <w:rsid w:val="00967702"/>
    <w:rsid w:val="0097173F"/>
    <w:rsid w:val="00971BD1"/>
    <w:rsid w:val="00974883"/>
    <w:rsid w:val="00975EAC"/>
    <w:rsid w:val="0097681C"/>
    <w:rsid w:val="00985EB0"/>
    <w:rsid w:val="009873FF"/>
    <w:rsid w:val="00990054"/>
    <w:rsid w:val="009928C9"/>
    <w:rsid w:val="00992DC8"/>
    <w:rsid w:val="00995F84"/>
    <w:rsid w:val="0099678B"/>
    <w:rsid w:val="00996ED3"/>
    <w:rsid w:val="0099730F"/>
    <w:rsid w:val="009A21FD"/>
    <w:rsid w:val="009A3C82"/>
    <w:rsid w:val="009A5EA2"/>
    <w:rsid w:val="009A6FD0"/>
    <w:rsid w:val="009B054A"/>
    <w:rsid w:val="009B2858"/>
    <w:rsid w:val="009B2DE5"/>
    <w:rsid w:val="009B3100"/>
    <w:rsid w:val="009B34B8"/>
    <w:rsid w:val="009C33B3"/>
    <w:rsid w:val="009D49AE"/>
    <w:rsid w:val="009D501D"/>
    <w:rsid w:val="009D7449"/>
    <w:rsid w:val="009D7DD4"/>
    <w:rsid w:val="009E1058"/>
    <w:rsid w:val="009E4749"/>
    <w:rsid w:val="009F0778"/>
    <w:rsid w:val="009F3256"/>
    <w:rsid w:val="009F6299"/>
    <w:rsid w:val="009F633B"/>
    <w:rsid w:val="009F638A"/>
    <w:rsid w:val="00A029F2"/>
    <w:rsid w:val="00A149E5"/>
    <w:rsid w:val="00A153FC"/>
    <w:rsid w:val="00A23FE9"/>
    <w:rsid w:val="00A2542D"/>
    <w:rsid w:val="00A278D7"/>
    <w:rsid w:val="00A37693"/>
    <w:rsid w:val="00A42754"/>
    <w:rsid w:val="00A45F18"/>
    <w:rsid w:val="00A53411"/>
    <w:rsid w:val="00A614C8"/>
    <w:rsid w:val="00A616E7"/>
    <w:rsid w:val="00A62247"/>
    <w:rsid w:val="00A6610B"/>
    <w:rsid w:val="00A66633"/>
    <w:rsid w:val="00A67B89"/>
    <w:rsid w:val="00A70480"/>
    <w:rsid w:val="00A719ED"/>
    <w:rsid w:val="00A7270C"/>
    <w:rsid w:val="00A75386"/>
    <w:rsid w:val="00A81F72"/>
    <w:rsid w:val="00A82B0B"/>
    <w:rsid w:val="00A878E0"/>
    <w:rsid w:val="00A87B9C"/>
    <w:rsid w:val="00A90E24"/>
    <w:rsid w:val="00A916F4"/>
    <w:rsid w:val="00A917EA"/>
    <w:rsid w:val="00A9577B"/>
    <w:rsid w:val="00A962B2"/>
    <w:rsid w:val="00A9762D"/>
    <w:rsid w:val="00A97BAC"/>
    <w:rsid w:val="00AA1C15"/>
    <w:rsid w:val="00AB6E37"/>
    <w:rsid w:val="00AB77FF"/>
    <w:rsid w:val="00AC2F14"/>
    <w:rsid w:val="00AC3CFE"/>
    <w:rsid w:val="00AC7F0D"/>
    <w:rsid w:val="00AD021E"/>
    <w:rsid w:val="00AD0858"/>
    <w:rsid w:val="00AD0B37"/>
    <w:rsid w:val="00AD0FB5"/>
    <w:rsid w:val="00AD202A"/>
    <w:rsid w:val="00AD24EC"/>
    <w:rsid w:val="00AD258E"/>
    <w:rsid w:val="00AD4DAF"/>
    <w:rsid w:val="00AD66E2"/>
    <w:rsid w:val="00AD7E0D"/>
    <w:rsid w:val="00AE0ED1"/>
    <w:rsid w:val="00AF0B05"/>
    <w:rsid w:val="00AF1AD1"/>
    <w:rsid w:val="00AF42BA"/>
    <w:rsid w:val="00AF45D7"/>
    <w:rsid w:val="00AF478A"/>
    <w:rsid w:val="00B015E0"/>
    <w:rsid w:val="00B04CA6"/>
    <w:rsid w:val="00B101F1"/>
    <w:rsid w:val="00B17438"/>
    <w:rsid w:val="00B2137B"/>
    <w:rsid w:val="00B213C3"/>
    <w:rsid w:val="00B228D4"/>
    <w:rsid w:val="00B3047D"/>
    <w:rsid w:val="00B31994"/>
    <w:rsid w:val="00B33D45"/>
    <w:rsid w:val="00B41C19"/>
    <w:rsid w:val="00B4412F"/>
    <w:rsid w:val="00B44FC3"/>
    <w:rsid w:val="00B455A4"/>
    <w:rsid w:val="00B45EBC"/>
    <w:rsid w:val="00B5127C"/>
    <w:rsid w:val="00B601D5"/>
    <w:rsid w:val="00B6462C"/>
    <w:rsid w:val="00B64838"/>
    <w:rsid w:val="00B67AF9"/>
    <w:rsid w:val="00B7542E"/>
    <w:rsid w:val="00B81287"/>
    <w:rsid w:val="00B84124"/>
    <w:rsid w:val="00B841E6"/>
    <w:rsid w:val="00B908A4"/>
    <w:rsid w:val="00B909C0"/>
    <w:rsid w:val="00B912C6"/>
    <w:rsid w:val="00B92794"/>
    <w:rsid w:val="00B936AF"/>
    <w:rsid w:val="00B93AEA"/>
    <w:rsid w:val="00B947B9"/>
    <w:rsid w:val="00B97B69"/>
    <w:rsid w:val="00BA4E15"/>
    <w:rsid w:val="00BA5C95"/>
    <w:rsid w:val="00BA64C2"/>
    <w:rsid w:val="00BA76D8"/>
    <w:rsid w:val="00BB028C"/>
    <w:rsid w:val="00BB2FA0"/>
    <w:rsid w:val="00BB3827"/>
    <w:rsid w:val="00BB56DE"/>
    <w:rsid w:val="00BB7853"/>
    <w:rsid w:val="00BC10E0"/>
    <w:rsid w:val="00BC11B8"/>
    <w:rsid w:val="00BC1268"/>
    <w:rsid w:val="00BC12AA"/>
    <w:rsid w:val="00BC1E12"/>
    <w:rsid w:val="00BC6A40"/>
    <w:rsid w:val="00BD100A"/>
    <w:rsid w:val="00BD5736"/>
    <w:rsid w:val="00BD5816"/>
    <w:rsid w:val="00BD607C"/>
    <w:rsid w:val="00BD77D8"/>
    <w:rsid w:val="00BD78A9"/>
    <w:rsid w:val="00BE02C6"/>
    <w:rsid w:val="00BF0B81"/>
    <w:rsid w:val="00BF0BA0"/>
    <w:rsid w:val="00BF1A08"/>
    <w:rsid w:val="00BF524A"/>
    <w:rsid w:val="00BF537B"/>
    <w:rsid w:val="00BF72DE"/>
    <w:rsid w:val="00C04D6E"/>
    <w:rsid w:val="00C05D72"/>
    <w:rsid w:val="00C06792"/>
    <w:rsid w:val="00C074CA"/>
    <w:rsid w:val="00C07CEA"/>
    <w:rsid w:val="00C10DC9"/>
    <w:rsid w:val="00C13082"/>
    <w:rsid w:val="00C13286"/>
    <w:rsid w:val="00C14D2D"/>
    <w:rsid w:val="00C20605"/>
    <w:rsid w:val="00C257AE"/>
    <w:rsid w:val="00C267A5"/>
    <w:rsid w:val="00C31D86"/>
    <w:rsid w:val="00C36CCA"/>
    <w:rsid w:val="00C37B52"/>
    <w:rsid w:val="00C40625"/>
    <w:rsid w:val="00C41EDF"/>
    <w:rsid w:val="00C43160"/>
    <w:rsid w:val="00C439E7"/>
    <w:rsid w:val="00C518F0"/>
    <w:rsid w:val="00C5267D"/>
    <w:rsid w:val="00C526C5"/>
    <w:rsid w:val="00C53E9A"/>
    <w:rsid w:val="00C6077B"/>
    <w:rsid w:val="00C6183F"/>
    <w:rsid w:val="00C65C8A"/>
    <w:rsid w:val="00C71916"/>
    <w:rsid w:val="00C76112"/>
    <w:rsid w:val="00C76F03"/>
    <w:rsid w:val="00C8060B"/>
    <w:rsid w:val="00C864FC"/>
    <w:rsid w:val="00C9101C"/>
    <w:rsid w:val="00C913CE"/>
    <w:rsid w:val="00C93BEF"/>
    <w:rsid w:val="00C95D35"/>
    <w:rsid w:val="00CA31D9"/>
    <w:rsid w:val="00CA54A9"/>
    <w:rsid w:val="00CA54E8"/>
    <w:rsid w:val="00CA5D0F"/>
    <w:rsid w:val="00CA7F06"/>
    <w:rsid w:val="00CA7F77"/>
    <w:rsid w:val="00CB00D1"/>
    <w:rsid w:val="00CB0D85"/>
    <w:rsid w:val="00CB2E01"/>
    <w:rsid w:val="00CB3440"/>
    <w:rsid w:val="00CB5372"/>
    <w:rsid w:val="00CC6798"/>
    <w:rsid w:val="00CC6DD8"/>
    <w:rsid w:val="00CD1484"/>
    <w:rsid w:val="00CD371C"/>
    <w:rsid w:val="00CD3723"/>
    <w:rsid w:val="00CD623F"/>
    <w:rsid w:val="00CD6D11"/>
    <w:rsid w:val="00CD7E0C"/>
    <w:rsid w:val="00CE2DB4"/>
    <w:rsid w:val="00CE3E35"/>
    <w:rsid w:val="00CE411C"/>
    <w:rsid w:val="00CE591F"/>
    <w:rsid w:val="00CF173B"/>
    <w:rsid w:val="00CF3E2F"/>
    <w:rsid w:val="00CF40A1"/>
    <w:rsid w:val="00D0159C"/>
    <w:rsid w:val="00D01EFC"/>
    <w:rsid w:val="00D033EB"/>
    <w:rsid w:val="00D0544E"/>
    <w:rsid w:val="00D10EC7"/>
    <w:rsid w:val="00D14D07"/>
    <w:rsid w:val="00D20046"/>
    <w:rsid w:val="00D20FBB"/>
    <w:rsid w:val="00D23850"/>
    <w:rsid w:val="00D265B9"/>
    <w:rsid w:val="00D27535"/>
    <w:rsid w:val="00D328B1"/>
    <w:rsid w:val="00D33933"/>
    <w:rsid w:val="00D33CA0"/>
    <w:rsid w:val="00D3426F"/>
    <w:rsid w:val="00D36127"/>
    <w:rsid w:val="00D436AE"/>
    <w:rsid w:val="00D4446E"/>
    <w:rsid w:val="00D463C4"/>
    <w:rsid w:val="00D4666F"/>
    <w:rsid w:val="00D5281B"/>
    <w:rsid w:val="00D54A67"/>
    <w:rsid w:val="00D55D10"/>
    <w:rsid w:val="00D571F8"/>
    <w:rsid w:val="00D60D83"/>
    <w:rsid w:val="00D627B1"/>
    <w:rsid w:val="00D62BAA"/>
    <w:rsid w:val="00D62BDB"/>
    <w:rsid w:val="00D636BA"/>
    <w:rsid w:val="00D64110"/>
    <w:rsid w:val="00D64BE9"/>
    <w:rsid w:val="00D67F61"/>
    <w:rsid w:val="00D70AEA"/>
    <w:rsid w:val="00D728BD"/>
    <w:rsid w:val="00D73C0E"/>
    <w:rsid w:val="00D749CB"/>
    <w:rsid w:val="00D754FF"/>
    <w:rsid w:val="00D8110C"/>
    <w:rsid w:val="00D84B38"/>
    <w:rsid w:val="00D86664"/>
    <w:rsid w:val="00D87834"/>
    <w:rsid w:val="00D913F7"/>
    <w:rsid w:val="00D92871"/>
    <w:rsid w:val="00D92953"/>
    <w:rsid w:val="00D9313F"/>
    <w:rsid w:val="00D93D2E"/>
    <w:rsid w:val="00D947D8"/>
    <w:rsid w:val="00D957A8"/>
    <w:rsid w:val="00D96DE6"/>
    <w:rsid w:val="00D9778F"/>
    <w:rsid w:val="00DA5752"/>
    <w:rsid w:val="00DA7F1E"/>
    <w:rsid w:val="00DB43C8"/>
    <w:rsid w:val="00DC0AE3"/>
    <w:rsid w:val="00DC4AF7"/>
    <w:rsid w:val="00DD2A40"/>
    <w:rsid w:val="00DD3061"/>
    <w:rsid w:val="00DD3B90"/>
    <w:rsid w:val="00DD56C2"/>
    <w:rsid w:val="00DD5B72"/>
    <w:rsid w:val="00DE2806"/>
    <w:rsid w:val="00DE63EC"/>
    <w:rsid w:val="00DF35F4"/>
    <w:rsid w:val="00DF3FFA"/>
    <w:rsid w:val="00DF41E5"/>
    <w:rsid w:val="00DF463A"/>
    <w:rsid w:val="00E00780"/>
    <w:rsid w:val="00E05297"/>
    <w:rsid w:val="00E068F1"/>
    <w:rsid w:val="00E12E5B"/>
    <w:rsid w:val="00E13875"/>
    <w:rsid w:val="00E155F5"/>
    <w:rsid w:val="00E21054"/>
    <w:rsid w:val="00E25FE5"/>
    <w:rsid w:val="00E30C64"/>
    <w:rsid w:val="00E31FEB"/>
    <w:rsid w:val="00E3205C"/>
    <w:rsid w:val="00E35382"/>
    <w:rsid w:val="00E35B0D"/>
    <w:rsid w:val="00E37D62"/>
    <w:rsid w:val="00E4037E"/>
    <w:rsid w:val="00E40727"/>
    <w:rsid w:val="00E410EA"/>
    <w:rsid w:val="00E414B7"/>
    <w:rsid w:val="00E42B5A"/>
    <w:rsid w:val="00E50395"/>
    <w:rsid w:val="00E50F7B"/>
    <w:rsid w:val="00E56799"/>
    <w:rsid w:val="00E6494A"/>
    <w:rsid w:val="00E739AE"/>
    <w:rsid w:val="00E753B3"/>
    <w:rsid w:val="00E80BDD"/>
    <w:rsid w:val="00E80D0F"/>
    <w:rsid w:val="00E82B39"/>
    <w:rsid w:val="00E848B8"/>
    <w:rsid w:val="00E85991"/>
    <w:rsid w:val="00E93446"/>
    <w:rsid w:val="00E94724"/>
    <w:rsid w:val="00E975FE"/>
    <w:rsid w:val="00E97CE7"/>
    <w:rsid w:val="00EA5A6E"/>
    <w:rsid w:val="00EA67A9"/>
    <w:rsid w:val="00EB27EF"/>
    <w:rsid w:val="00EC1363"/>
    <w:rsid w:val="00EC50D4"/>
    <w:rsid w:val="00EC5462"/>
    <w:rsid w:val="00EC69A3"/>
    <w:rsid w:val="00EC782A"/>
    <w:rsid w:val="00ED19AE"/>
    <w:rsid w:val="00ED2C9E"/>
    <w:rsid w:val="00ED4FC5"/>
    <w:rsid w:val="00EE01AF"/>
    <w:rsid w:val="00EF1FA3"/>
    <w:rsid w:val="00EF1FCA"/>
    <w:rsid w:val="00EF5762"/>
    <w:rsid w:val="00EF69AB"/>
    <w:rsid w:val="00EF6FC7"/>
    <w:rsid w:val="00EF7961"/>
    <w:rsid w:val="00F00BA4"/>
    <w:rsid w:val="00F024A8"/>
    <w:rsid w:val="00F076B3"/>
    <w:rsid w:val="00F10B09"/>
    <w:rsid w:val="00F1120E"/>
    <w:rsid w:val="00F115FB"/>
    <w:rsid w:val="00F11707"/>
    <w:rsid w:val="00F118FA"/>
    <w:rsid w:val="00F161B0"/>
    <w:rsid w:val="00F17FFC"/>
    <w:rsid w:val="00F2580C"/>
    <w:rsid w:val="00F264D9"/>
    <w:rsid w:val="00F273F3"/>
    <w:rsid w:val="00F31C6B"/>
    <w:rsid w:val="00F33B6B"/>
    <w:rsid w:val="00F33B85"/>
    <w:rsid w:val="00F34F1C"/>
    <w:rsid w:val="00F37425"/>
    <w:rsid w:val="00F418B2"/>
    <w:rsid w:val="00F43F82"/>
    <w:rsid w:val="00F47824"/>
    <w:rsid w:val="00F51ABA"/>
    <w:rsid w:val="00F51F3C"/>
    <w:rsid w:val="00F53D9C"/>
    <w:rsid w:val="00F5592F"/>
    <w:rsid w:val="00F6409E"/>
    <w:rsid w:val="00F67332"/>
    <w:rsid w:val="00F678E5"/>
    <w:rsid w:val="00F73211"/>
    <w:rsid w:val="00F73B46"/>
    <w:rsid w:val="00F77283"/>
    <w:rsid w:val="00F772C3"/>
    <w:rsid w:val="00F80338"/>
    <w:rsid w:val="00F81A93"/>
    <w:rsid w:val="00F84F93"/>
    <w:rsid w:val="00F8501D"/>
    <w:rsid w:val="00FA12B9"/>
    <w:rsid w:val="00FB0C70"/>
    <w:rsid w:val="00FB3C6B"/>
    <w:rsid w:val="00FB7A38"/>
    <w:rsid w:val="00FC6A22"/>
    <w:rsid w:val="00FD0D54"/>
    <w:rsid w:val="00FD1B14"/>
    <w:rsid w:val="00FD1DC9"/>
    <w:rsid w:val="00FD29D5"/>
    <w:rsid w:val="00FE65F9"/>
    <w:rsid w:val="00FF49E8"/>
    <w:rsid w:val="00FF5F83"/>
    <w:rsid w:val="0367315B"/>
    <w:rsid w:val="057D703E"/>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name="index 2"/>
    <w:lsdException w:unhideWhenUsed="0" w:uiPriority="0" w:name="index 3"/>
    <w:lsdException w:unhideWhenUsed="0" w:uiPriority="0" w:name="index 4"/>
    <w:lsdException w:unhideWhenUsed="0" w:uiPriority="0" w:name="index 5"/>
    <w:lsdException w:unhideWhenUsed="0" w:uiPriority="0" w:name="index 6"/>
    <w:lsdException w:unhideWhenUsed="0" w:uiPriority="0" w:name="index 7"/>
    <w:lsdException w:unhideWhenUsed="0" w:uiPriority="0" w:name="index 8"/>
    <w:lsdException w:unhideWhenUsed="0" w:uiPriority="0" w:name="index 9"/>
    <w:lsdException w:unhideWhenUsed="0" w:uiPriority="39" w:semiHidden="0" w:name="toc 1"/>
    <w:lsdException w:unhideWhenUsed="0" w:uiPriority="39" w:semiHidden="0" w:name="toc 2"/>
    <w:lsdException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iPriority="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name="endnote reference"/>
    <w:lsdException w:unhideWhenUsed="0" w:uiPriority="0" w:name="endnote text"/>
    <w:lsdException w:uiPriority="0" w:name="table of authorities"/>
    <w:lsdException w:uiPriority="0" w:name="macro"/>
    <w:lsdException w:unhideWhenUsed="0" w:uiPriority="0" w:name="toa heading"/>
    <w:lsdException w:uiPriority="0" w:name="List"/>
    <w:lsdException w:unhideWhenUsed="0" w:uiPriority="0" w:semiHidden="0" w:name="List Bullet"/>
    <w:lsdException w:unhideWhenUsed="0" w:uiPriority="0" w:semiHidden="0" w:name="List Number"/>
    <w:lsdException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nhideWhenUsed="0" w:uiPriority="0" w:semiHidden="0" w:name="Closing"/>
    <w:lsdException w:uiPriority="0" w:name="Signature"/>
    <w:lsdException w:qFormat="1" w:uiPriority="1" w:name="Default Paragraph Font"/>
    <w:lsdException w:qFormat="1" w:unhideWhenUsed="0" w:uiPriority="0" w:semiHidden="0" w:name="Body Text"/>
    <w:lsdException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iPriority="0" w:name="E-mail Signature"/>
    <w:lsdException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nhideWhenUsed="0" w:uiPriority="0" w:semiHidden="0" w:name="HTML Preformatted"/>
    <w:lsdException w:uiPriority="0" w:name="HTML Sample"/>
    <w:lsdException w:uiPriority="0" w:name="HTML Typewriter"/>
    <w:lsdException w:uiPriority="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3">
    <w:name w:val="heading 1"/>
    <w:basedOn w:val="1"/>
    <w:next w:val="1"/>
    <w:link w:val="71"/>
    <w:qFormat/>
    <w:uiPriority w:val="0"/>
    <w:pPr>
      <w:ind w:left="538"/>
      <w:outlineLvl w:val="0"/>
    </w:pPr>
    <w:rPr>
      <w:b/>
      <w:bCs/>
      <w:sz w:val="28"/>
      <w:szCs w:val="28"/>
    </w:rPr>
  </w:style>
  <w:style w:type="paragraph" w:styleId="4">
    <w:name w:val="heading 2"/>
    <w:basedOn w:val="1"/>
    <w:next w:val="1"/>
    <w:link w:val="72"/>
    <w:qFormat/>
    <w:uiPriority w:val="0"/>
    <w:pPr>
      <w:ind w:left="629"/>
      <w:outlineLvl w:val="1"/>
    </w:pPr>
    <w:rPr>
      <w:b/>
      <w:bCs/>
      <w:sz w:val="24"/>
      <w:szCs w:val="24"/>
    </w:rPr>
  </w:style>
  <w:style w:type="paragraph" w:styleId="5">
    <w:name w:val="heading 3"/>
    <w:basedOn w:val="1"/>
    <w:next w:val="1"/>
    <w:link w:val="73"/>
    <w:qFormat/>
    <w:uiPriority w:val="0"/>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6">
    <w:name w:val="heading 4"/>
    <w:basedOn w:val="1"/>
    <w:next w:val="1"/>
    <w:link w:val="74"/>
    <w:qFormat/>
    <w:uiPriority w:val="0"/>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7">
    <w:name w:val="heading 5"/>
    <w:basedOn w:val="1"/>
    <w:next w:val="1"/>
    <w:link w:val="75"/>
    <w:qFormat/>
    <w:uiPriority w:val="0"/>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8">
    <w:name w:val="heading 6"/>
    <w:basedOn w:val="1"/>
    <w:next w:val="1"/>
    <w:link w:val="76"/>
    <w:qFormat/>
    <w:uiPriority w:val="0"/>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9">
    <w:name w:val="heading 7"/>
    <w:basedOn w:val="1"/>
    <w:next w:val="10"/>
    <w:link w:val="78"/>
    <w:qFormat/>
    <w:uiPriority w:val="0"/>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11">
    <w:name w:val="heading 8"/>
    <w:basedOn w:val="1"/>
    <w:next w:val="10"/>
    <w:link w:val="79"/>
    <w:qFormat/>
    <w:uiPriority w:val="0"/>
    <w:pPr>
      <w:keepNext/>
      <w:keepLines/>
      <w:autoSpaceDE/>
      <w:autoSpaceDN/>
      <w:spacing w:before="240" w:after="64" w:line="320" w:lineRule="atLeast"/>
      <w:jc w:val="both"/>
      <w:outlineLvl w:val="7"/>
    </w:pPr>
    <w:rPr>
      <w:rFonts w:ascii="Arial" w:hAnsi="Arial" w:eastAsia="黑体" w:cs="Times New Roman"/>
      <w:kern w:val="2"/>
      <w:sz w:val="24"/>
      <w:szCs w:val="20"/>
      <w:lang w:eastAsia="zh-CN"/>
    </w:rPr>
  </w:style>
  <w:style w:type="paragraph" w:styleId="12">
    <w:name w:val="heading 9"/>
    <w:basedOn w:val="1"/>
    <w:next w:val="10"/>
    <w:link w:val="80"/>
    <w:qFormat/>
    <w:uiPriority w:val="0"/>
    <w:pPr>
      <w:keepNext/>
      <w:keepLines/>
      <w:autoSpaceDE/>
      <w:autoSpaceDN/>
      <w:spacing w:before="240" w:after="64" w:line="320" w:lineRule="atLeast"/>
      <w:jc w:val="both"/>
      <w:outlineLvl w:val="8"/>
    </w:pPr>
    <w:rPr>
      <w:rFonts w:ascii="Arial" w:hAnsi="Arial" w:eastAsia="黑体" w:cs="Times New Roman"/>
      <w:kern w:val="2"/>
      <w:sz w:val="21"/>
      <w:szCs w:val="20"/>
      <w:lang w:eastAsia="zh-CN"/>
    </w:rPr>
  </w:style>
  <w:style w:type="character" w:default="1" w:styleId="62">
    <w:name w:val="Default Paragraph Font"/>
    <w:semiHidden/>
    <w:unhideWhenUsed/>
    <w:qFormat/>
    <w:uiPriority w:val="1"/>
  </w:style>
  <w:style w:type="table" w:default="1" w:styleId="60">
    <w:name w:val="Normal Table"/>
    <w:semiHidden/>
    <w:unhideWhenUsed/>
    <w:qFormat/>
    <w:uiPriority w:val="99"/>
    <w:tblPr>
      <w:tblCellMar>
        <w:top w:w="0" w:type="dxa"/>
        <w:left w:w="108" w:type="dxa"/>
        <w:bottom w:w="0" w:type="dxa"/>
        <w:right w:w="108" w:type="dxa"/>
      </w:tblCellMar>
    </w:tblPr>
  </w:style>
  <w:style w:type="paragraph" w:customStyle="1" w:styleId="2">
    <w:name w:val="正文1"/>
    <w:link w:val="246"/>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styleId="10">
    <w:name w:val="Normal Indent"/>
    <w:basedOn w:val="1"/>
    <w:link w:val="77"/>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13">
    <w:name w:val="toc 7"/>
    <w:basedOn w:val="1"/>
    <w:next w:val="1"/>
    <w:uiPriority w:val="0"/>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14">
    <w:name w:val="index 8"/>
    <w:basedOn w:val="1"/>
    <w:next w:val="1"/>
    <w:semiHidden/>
    <w:uiPriority w:val="0"/>
    <w:pPr>
      <w:autoSpaceDE/>
      <w:autoSpaceDN/>
      <w:adjustRightInd w:val="0"/>
      <w:spacing w:line="360" w:lineRule="atLeast"/>
      <w:ind w:left="2940"/>
      <w:textAlignment w:val="baseline"/>
    </w:pPr>
    <w:rPr>
      <w:rFonts w:ascii="Calibri" w:hAnsi="Calibri"/>
      <w:sz w:val="24"/>
      <w:szCs w:val="20"/>
      <w:lang w:eastAsia="zh-CN"/>
    </w:rPr>
  </w:style>
  <w:style w:type="paragraph" w:styleId="15">
    <w:name w:val="caption"/>
    <w:basedOn w:val="1"/>
    <w:next w:val="1"/>
    <w:qFormat/>
    <w:uiPriority w:val="0"/>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16">
    <w:name w:val="index 5"/>
    <w:basedOn w:val="1"/>
    <w:next w:val="1"/>
    <w:semiHidden/>
    <w:uiPriority w:val="0"/>
    <w:pPr>
      <w:autoSpaceDE/>
      <w:autoSpaceDN/>
      <w:adjustRightInd w:val="0"/>
      <w:spacing w:line="360" w:lineRule="atLeast"/>
      <w:ind w:left="1680"/>
      <w:textAlignment w:val="baseline"/>
    </w:pPr>
    <w:rPr>
      <w:rFonts w:ascii="Calibri" w:hAnsi="Calibri"/>
      <w:sz w:val="24"/>
      <w:szCs w:val="20"/>
      <w:lang w:eastAsia="zh-CN"/>
    </w:rPr>
  </w:style>
  <w:style w:type="paragraph" w:styleId="17">
    <w:name w:val="List Bullet"/>
    <w:basedOn w:val="1"/>
    <w:uiPriority w:val="0"/>
    <w:pPr>
      <w:numPr>
        <w:ilvl w:val="0"/>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18">
    <w:name w:val="Document Map"/>
    <w:basedOn w:val="1"/>
    <w:link w:val="110"/>
    <w:uiPriority w:val="0"/>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19">
    <w:name w:val="toa heading"/>
    <w:basedOn w:val="1"/>
    <w:next w:val="1"/>
    <w:semiHidden/>
    <w:uiPriority w:val="0"/>
    <w:pPr>
      <w:widowControl/>
      <w:autoSpaceDE/>
      <w:autoSpaceDN/>
      <w:spacing w:before="120"/>
      <w:ind w:left="6778" w:hanging="6300"/>
    </w:pPr>
    <w:rPr>
      <w:rFonts w:ascii="Arial" w:hAnsi="Arial" w:cs="Arial"/>
      <w:sz w:val="24"/>
      <w:szCs w:val="24"/>
      <w:lang w:eastAsia="zh-CN"/>
    </w:rPr>
  </w:style>
  <w:style w:type="paragraph" w:styleId="20">
    <w:name w:val="annotation text"/>
    <w:basedOn w:val="1"/>
    <w:link w:val="97"/>
    <w:uiPriority w:val="0"/>
    <w:pPr>
      <w:autoSpaceDE/>
      <w:autoSpaceDN/>
    </w:pPr>
    <w:rPr>
      <w:rFonts w:ascii="Times New Roman" w:hAnsi="Times New Roman" w:cs="Times New Roman"/>
      <w:kern w:val="2"/>
      <w:sz w:val="21"/>
      <w:szCs w:val="20"/>
      <w:lang w:eastAsia="zh-CN"/>
    </w:rPr>
  </w:style>
  <w:style w:type="paragraph" w:styleId="21">
    <w:name w:val="index 6"/>
    <w:basedOn w:val="1"/>
    <w:next w:val="1"/>
    <w:semiHidden/>
    <w:uiPriority w:val="0"/>
    <w:pPr>
      <w:autoSpaceDE/>
      <w:autoSpaceDN/>
      <w:adjustRightInd w:val="0"/>
      <w:spacing w:line="360" w:lineRule="atLeast"/>
      <w:ind w:left="2100"/>
      <w:textAlignment w:val="baseline"/>
    </w:pPr>
    <w:rPr>
      <w:rFonts w:ascii="Calibri" w:hAnsi="Calibri"/>
      <w:sz w:val="24"/>
      <w:szCs w:val="20"/>
      <w:lang w:eastAsia="zh-CN"/>
    </w:rPr>
  </w:style>
  <w:style w:type="paragraph" w:styleId="22">
    <w:name w:val="Salutation"/>
    <w:basedOn w:val="1"/>
    <w:next w:val="1"/>
    <w:link w:val="249"/>
    <w:uiPriority w:val="0"/>
    <w:pPr>
      <w:autoSpaceDE/>
      <w:autoSpaceDN/>
      <w:adjustRightInd w:val="0"/>
      <w:spacing w:line="312" w:lineRule="atLeast"/>
      <w:jc w:val="both"/>
      <w:textAlignment w:val="baseline"/>
    </w:pPr>
    <w:rPr>
      <w:rFonts w:ascii="Times New Roman" w:hAnsi="Times New Roman" w:cs="Times New Roman"/>
      <w:sz w:val="21"/>
      <w:szCs w:val="20"/>
      <w:lang w:eastAsia="zh-CN"/>
    </w:rPr>
  </w:style>
  <w:style w:type="paragraph" w:styleId="23">
    <w:name w:val="Body Text 3"/>
    <w:basedOn w:val="1"/>
    <w:link w:val="106"/>
    <w:uiPriority w:val="0"/>
    <w:pPr>
      <w:autoSpaceDE/>
      <w:autoSpaceDN/>
      <w:spacing w:line="360" w:lineRule="auto"/>
      <w:jc w:val="both"/>
    </w:pPr>
    <w:rPr>
      <w:rFonts w:ascii="Times New Roman" w:hAnsi="Times New Roman" w:cs="Times New Roman"/>
      <w:color w:val="0000FF"/>
      <w:kern w:val="2"/>
      <w:sz w:val="24"/>
      <w:szCs w:val="24"/>
      <w:lang w:eastAsia="zh-CN"/>
    </w:rPr>
  </w:style>
  <w:style w:type="paragraph" w:styleId="24">
    <w:name w:val="Closing"/>
    <w:basedOn w:val="1"/>
    <w:link w:val="91"/>
    <w:uiPriority w:val="0"/>
    <w:pPr>
      <w:autoSpaceDE/>
      <w:autoSpaceDN/>
      <w:ind w:left="100" w:leftChars="2100"/>
      <w:jc w:val="both"/>
    </w:pPr>
    <w:rPr>
      <w:rFonts w:ascii="Times New Roman" w:hAnsi="Times New Roman" w:cs="Times New Roman"/>
      <w:b/>
      <w:kern w:val="2"/>
      <w:sz w:val="21"/>
      <w:szCs w:val="20"/>
      <w:lang w:eastAsia="zh-CN"/>
    </w:rPr>
  </w:style>
  <w:style w:type="paragraph" w:styleId="25">
    <w:name w:val="Body Text"/>
    <w:basedOn w:val="1"/>
    <w:link w:val="81"/>
    <w:qFormat/>
    <w:uiPriority w:val="0"/>
    <w:rPr>
      <w:sz w:val="24"/>
      <w:szCs w:val="24"/>
    </w:rPr>
  </w:style>
  <w:style w:type="paragraph" w:styleId="26">
    <w:name w:val="Body Text Indent"/>
    <w:basedOn w:val="1"/>
    <w:link w:val="105"/>
    <w:uiPriority w:val="0"/>
    <w:pPr>
      <w:autoSpaceDE/>
      <w:autoSpaceDN/>
      <w:ind w:left="540" w:leftChars="257"/>
      <w:jc w:val="both"/>
    </w:pPr>
    <w:rPr>
      <w:rFonts w:ascii="Times New Roman" w:hAnsi="Times New Roman" w:cs="Times New Roman"/>
      <w:i/>
      <w:iCs/>
      <w:kern w:val="2"/>
      <w:sz w:val="21"/>
      <w:szCs w:val="20"/>
      <w:lang w:eastAsia="zh-CN"/>
    </w:rPr>
  </w:style>
  <w:style w:type="paragraph" w:styleId="27">
    <w:name w:val="List 2"/>
    <w:basedOn w:val="1"/>
    <w:uiPriority w:val="0"/>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28">
    <w:name w:val="Block Text"/>
    <w:basedOn w:val="1"/>
    <w:uiPriority w:val="0"/>
    <w:pPr>
      <w:autoSpaceDE/>
      <w:autoSpaceDN/>
      <w:spacing w:before="120" w:after="120" w:line="360" w:lineRule="auto"/>
      <w:ind w:left="630" w:right="202"/>
      <w:jc w:val="both"/>
    </w:pPr>
    <w:rPr>
      <w:rFonts w:hAnsi="Calibri"/>
      <w:kern w:val="2"/>
      <w:sz w:val="24"/>
      <w:szCs w:val="20"/>
      <w:lang w:eastAsia="zh-CN"/>
    </w:rPr>
  </w:style>
  <w:style w:type="paragraph" w:styleId="29">
    <w:name w:val="index 4"/>
    <w:basedOn w:val="1"/>
    <w:next w:val="1"/>
    <w:semiHidden/>
    <w:uiPriority w:val="0"/>
    <w:pPr>
      <w:autoSpaceDE/>
      <w:autoSpaceDN/>
      <w:adjustRightInd w:val="0"/>
      <w:spacing w:line="360" w:lineRule="atLeast"/>
      <w:ind w:left="1260"/>
      <w:textAlignment w:val="baseline"/>
    </w:pPr>
    <w:rPr>
      <w:rFonts w:ascii="Calibri" w:hAnsi="Calibri"/>
      <w:sz w:val="24"/>
      <w:szCs w:val="20"/>
      <w:lang w:eastAsia="zh-CN"/>
    </w:rPr>
  </w:style>
  <w:style w:type="paragraph" w:styleId="30">
    <w:name w:val="toc 5"/>
    <w:basedOn w:val="1"/>
    <w:next w:val="1"/>
    <w:uiPriority w:val="0"/>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31">
    <w:name w:val="toc 3"/>
    <w:basedOn w:val="1"/>
    <w:next w:val="1"/>
    <w:uiPriority w:val="39"/>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32">
    <w:name w:val="Plain Text"/>
    <w:basedOn w:val="1"/>
    <w:link w:val="82"/>
    <w:qFormat/>
    <w:uiPriority w:val="0"/>
    <w:rPr>
      <w:rFonts w:hAnsi="Courier New" w:cs="Courier New"/>
      <w:szCs w:val="21"/>
    </w:rPr>
  </w:style>
  <w:style w:type="paragraph" w:styleId="33">
    <w:name w:val="toc 8"/>
    <w:basedOn w:val="1"/>
    <w:next w:val="1"/>
    <w:uiPriority w:val="0"/>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34">
    <w:name w:val="index 3"/>
    <w:basedOn w:val="1"/>
    <w:next w:val="1"/>
    <w:semiHidden/>
    <w:uiPriority w:val="0"/>
    <w:pPr>
      <w:autoSpaceDE/>
      <w:autoSpaceDN/>
      <w:adjustRightInd w:val="0"/>
      <w:spacing w:line="360" w:lineRule="atLeast"/>
      <w:ind w:left="840"/>
      <w:textAlignment w:val="baseline"/>
    </w:pPr>
    <w:rPr>
      <w:rFonts w:ascii="Calibri" w:hAnsi="Calibri"/>
      <w:sz w:val="24"/>
      <w:szCs w:val="20"/>
      <w:lang w:eastAsia="zh-CN"/>
    </w:rPr>
  </w:style>
  <w:style w:type="paragraph" w:styleId="35">
    <w:name w:val="Date"/>
    <w:basedOn w:val="1"/>
    <w:next w:val="1"/>
    <w:link w:val="111"/>
    <w:uiPriority w:val="0"/>
    <w:pPr>
      <w:autoSpaceDE/>
      <w:autoSpaceDN/>
      <w:ind w:left="100" w:leftChars="2500"/>
      <w:jc w:val="both"/>
    </w:pPr>
    <w:rPr>
      <w:rFonts w:ascii="Times New Roman" w:hAnsi="Times New Roman" w:cs="Times New Roman"/>
      <w:kern w:val="2"/>
      <w:sz w:val="21"/>
      <w:szCs w:val="24"/>
      <w:lang w:eastAsia="zh-CN"/>
    </w:rPr>
  </w:style>
  <w:style w:type="paragraph" w:styleId="36">
    <w:name w:val="Body Text Indent 2"/>
    <w:basedOn w:val="1"/>
    <w:link w:val="100"/>
    <w:uiPriority w:val="0"/>
    <w:pPr>
      <w:autoSpaceDE/>
      <w:autoSpaceDN/>
      <w:snapToGrid w:val="0"/>
      <w:spacing w:line="360" w:lineRule="auto"/>
      <w:ind w:firstLine="567"/>
      <w:jc w:val="both"/>
    </w:pPr>
    <w:rPr>
      <w:rFonts w:cs="Times New Roman"/>
      <w:iCs/>
      <w:kern w:val="2"/>
      <w:sz w:val="24"/>
      <w:szCs w:val="24"/>
      <w:lang w:eastAsia="zh-CN"/>
    </w:rPr>
  </w:style>
  <w:style w:type="paragraph" w:styleId="37">
    <w:name w:val="endnote text"/>
    <w:basedOn w:val="1"/>
    <w:link w:val="252"/>
    <w:semiHidden/>
    <w:uiPriority w:val="0"/>
    <w:pPr>
      <w:autoSpaceDE/>
      <w:autoSpaceDN/>
      <w:adjustRightInd w:val="0"/>
      <w:snapToGrid w:val="0"/>
      <w:spacing w:line="360" w:lineRule="atLeast"/>
      <w:textAlignment w:val="baseline"/>
    </w:pPr>
    <w:rPr>
      <w:rFonts w:ascii="Calibri" w:hAnsi="Calibri"/>
      <w:sz w:val="24"/>
      <w:szCs w:val="20"/>
      <w:lang w:eastAsia="zh-CN"/>
    </w:rPr>
  </w:style>
  <w:style w:type="paragraph" w:styleId="38">
    <w:name w:val="Balloon Text"/>
    <w:basedOn w:val="1"/>
    <w:link w:val="98"/>
    <w:uiPriority w:val="0"/>
    <w:pPr>
      <w:autoSpaceDE/>
      <w:autoSpaceDN/>
      <w:jc w:val="both"/>
    </w:pPr>
    <w:rPr>
      <w:rFonts w:ascii="Times New Roman" w:hAnsi="Times New Roman" w:cs="Times New Roman"/>
      <w:kern w:val="2"/>
      <w:sz w:val="18"/>
      <w:szCs w:val="18"/>
      <w:lang w:eastAsia="zh-CN"/>
    </w:rPr>
  </w:style>
  <w:style w:type="paragraph" w:styleId="39">
    <w:name w:val="footer"/>
    <w:basedOn w:val="1"/>
    <w:link w:val="83"/>
    <w:qFormat/>
    <w:uiPriority w:val="0"/>
    <w:pPr>
      <w:tabs>
        <w:tab w:val="center" w:pos="4153"/>
        <w:tab w:val="right" w:pos="8306"/>
      </w:tabs>
      <w:snapToGrid w:val="0"/>
    </w:pPr>
    <w:rPr>
      <w:sz w:val="18"/>
      <w:szCs w:val="18"/>
    </w:rPr>
  </w:style>
  <w:style w:type="paragraph" w:styleId="40">
    <w:name w:val="header"/>
    <w:basedOn w:val="1"/>
    <w:link w:val="84"/>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41">
    <w:name w:val="toc 1"/>
    <w:basedOn w:val="1"/>
    <w:next w:val="1"/>
    <w:uiPriority w:val="39"/>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42">
    <w:name w:val="toc 4"/>
    <w:basedOn w:val="1"/>
    <w:next w:val="1"/>
    <w:uiPriority w:val="0"/>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43">
    <w:name w:val="index heading"/>
    <w:basedOn w:val="1"/>
    <w:next w:val="44"/>
    <w:semiHidden/>
    <w:uiPriority w:val="0"/>
    <w:pPr>
      <w:autoSpaceDE/>
      <w:autoSpaceDN/>
      <w:adjustRightInd w:val="0"/>
      <w:spacing w:line="360" w:lineRule="atLeast"/>
      <w:textAlignment w:val="baseline"/>
    </w:pPr>
    <w:rPr>
      <w:rFonts w:ascii="Calibri" w:hAnsi="Calibri"/>
      <w:sz w:val="24"/>
      <w:szCs w:val="20"/>
      <w:lang w:eastAsia="zh-CN"/>
    </w:rPr>
  </w:style>
  <w:style w:type="paragraph" w:styleId="44">
    <w:name w:val="index 1"/>
    <w:basedOn w:val="1"/>
    <w:next w:val="1"/>
    <w:uiPriority w:val="0"/>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45">
    <w:name w:val="toc 6"/>
    <w:basedOn w:val="1"/>
    <w:next w:val="1"/>
    <w:uiPriority w:val="0"/>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46">
    <w:name w:val="Body Text Indent 3"/>
    <w:basedOn w:val="1"/>
    <w:link w:val="99"/>
    <w:uiPriority w:val="0"/>
    <w:pPr>
      <w:autoSpaceDE/>
      <w:autoSpaceDN/>
      <w:ind w:firstLine="560"/>
      <w:jc w:val="both"/>
    </w:pPr>
    <w:rPr>
      <w:rFonts w:ascii="Times New Roman" w:hAnsi="Times New Roman" w:cs="Times New Roman"/>
      <w:kern w:val="2"/>
      <w:sz w:val="28"/>
      <w:szCs w:val="20"/>
      <w:lang w:eastAsia="zh-CN"/>
    </w:rPr>
  </w:style>
  <w:style w:type="paragraph" w:styleId="47">
    <w:name w:val="index 7"/>
    <w:basedOn w:val="1"/>
    <w:next w:val="1"/>
    <w:semiHidden/>
    <w:uiPriority w:val="0"/>
    <w:pPr>
      <w:autoSpaceDE/>
      <w:autoSpaceDN/>
      <w:adjustRightInd w:val="0"/>
      <w:spacing w:line="360" w:lineRule="atLeast"/>
      <w:ind w:left="2520"/>
      <w:textAlignment w:val="baseline"/>
    </w:pPr>
    <w:rPr>
      <w:rFonts w:ascii="Calibri" w:hAnsi="Calibri"/>
      <w:sz w:val="24"/>
      <w:szCs w:val="20"/>
      <w:lang w:eastAsia="zh-CN"/>
    </w:rPr>
  </w:style>
  <w:style w:type="paragraph" w:styleId="48">
    <w:name w:val="index 9"/>
    <w:basedOn w:val="1"/>
    <w:next w:val="1"/>
    <w:semiHidden/>
    <w:uiPriority w:val="0"/>
    <w:pPr>
      <w:autoSpaceDE/>
      <w:autoSpaceDN/>
      <w:adjustRightInd w:val="0"/>
      <w:spacing w:line="360" w:lineRule="atLeast"/>
      <w:ind w:left="3360"/>
      <w:textAlignment w:val="baseline"/>
    </w:pPr>
    <w:rPr>
      <w:rFonts w:ascii="Calibri" w:hAnsi="Calibri"/>
      <w:sz w:val="24"/>
      <w:szCs w:val="20"/>
      <w:lang w:eastAsia="zh-CN"/>
    </w:rPr>
  </w:style>
  <w:style w:type="paragraph" w:styleId="49">
    <w:name w:val="toc 2"/>
    <w:basedOn w:val="1"/>
    <w:next w:val="1"/>
    <w:uiPriority w:val="39"/>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50">
    <w:name w:val="toc 9"/>
    <w:basedOn w:val="1"/>
    <w:next w:val="1"/>
    <w:uiPriority w:val="0"/>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51">
    <w:name w:val="Body Text 2"/>
    <w:basedOn w:val="1"/>
    <w:link w:val="112"/>
    <w:uiPriority w:val="0"/>
    <w:pPr>
      <w:autoSpaceDE/>
      <w:autoSpaceDN/>
      <w:spacing w:after="120" w:line="480" w:lineRule="auto"/>
      <w:jc w:val="both"/>
    </w:pPr>
    <w:rPr>
      <w:rFonts w:ascii="Times New Roman" w:hAnsi="Times New Roman" w:cs="Times New Roman"/>
      <w:kern w:val="2"/>
      <w:sz w:val="21"/>
      <w:szCs w:val="24"/>
      <w:lang w:eastAsia="zh-CN"/>
    </w:rPr>
  </w:style>
  <w:style w:type="paragraph" w:styleId="52">
    <w:name w:val="Message Header"/>
    <w:basedOn w:val="1"/>
    <w:link w:val="118"/>
    <w:uiPriority w:val="0"/>
    <w:pPr>
      <w:pBdr>
        <w:top w:val="single" w:color="auto" w:sz="6" w:space="1"/>
        <w:left w:val="single" w:color="auto" w:sz="6" w:space="1"/>
        <w:bottom w:val="single" w:color="auto" w:sz="6" w:space="1"/>
        <w:right w:val="single" w:color="auto" w:sz="6" w:space="1"/>
      </w:pBdr>
      <w:shd w:val="pct20" w:color="auto" w:fill="auto"/>
      <w:autoSpaceDE/>
      <w:autoSpaceDN/>
      <w:ind w:left="1080" w:leftChars="500" w:hanging="1080" w:hangingChars="500"/>
      <w:jc w:val="both"/>
    </w:pPr>
    <w:rPr>
      <w:rFonts w:ascii="Arial" w:hAnsi="Arial" w:cs="Arial"/>
      <w:kern w:val="2"/>
      <w:sz w:val="24"/>
      <w:szCs w:val="24"/>
      <w:lang w:eastAsia="zh-CN"/>
    </w:rPr>
  </w:style>
  <w:style w:type="paragraph" w:styleId="53">
    <w:name w:val="HTML Preformatted"/>
    <w:basedOn w:val="1"/>
    <w:link w:val="109"/>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hAnsi="Arial Unicode MS" w:eastAsia="Courier New" w:cs="Courier New"/>
      <w:sz w:val="20"/>
      <w:szCs w:val="20"/>
      <w:lang w:eastAsia="zh-CN"/>
    </w:rPr>
  </w:style>
  <w:style w:type="paragraph" w:styleId="54">
    <w:name w:val="Normal (Web)"/>
    <w:basedOn w:val="1"/>
    <w:link w:val="92"/>
    <w:unhideWhenUsed/>
    <w:uiPriority w:val="0"/>
    <w:pPr>
      <w:widowControl/>
      <w:autoSpaceDE/>
      <w:autoSpaceDN/>
      <w:spacing w:before="100" w:beforeAutospacing="1" w:after="100" w:afterAutospacing="1"/>
    </w:pPr>
    <w:rPr>
      <w:sz w:val="24"/>
      <w:szCs w:val="24"/>
      <w:lang w:eastAsia="zh-CN"/>
    </w:rPr>
  </w:style>
  <w:style w:type="paragraph" w:styleId="55">
    <w:name w:val="index 2"/>
    <w:basedOn w:val="1"/>
    <w:next w:val="1"/>
    <w:semiHidden/>
    <w:uiPriority w:val="0"/>
    <w:pPr>
      <w:autoSpaceDE/>
      <w:autoSpaceDN/>
      <w:adjustRightInd w:val="0"/>
      <w:spacing w:line="360" w:lineRule="atLeast"/>
      <w:ind w:left="420"/>
      <w:textAlignment w:val="baseline"/>
    </w:pPr>
    <w:rPr>
      <w:rFonts w:ascii="Calibri" w:hAnsi="Calibri"/>
      <w:sz w:val="24"/>
      <w:szCs w:val="20"/>
      <w:lang w:eastAsia="zh-CN"/>
    </w:rPr>
  </w:style>
  <w:style w:type="paragraph" w:styleId="56">
    <w:name w:val="Title"/>
    <w:basedOn w:val="1"/>
    <w:link w:val="104"/>
    <w:qFormat/>
    <w:uiPriority w:val="0"/>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57">
    <w:name w:val="annotation subject"/>
    <w:basedOn w:val="20"/>
    <w:next w:val="20"/>
    <w:link w:val="114"/>
    <w:uiPriority w:val="0"/>
    <w:pPr>
      <w:widowControl/>
    </w:pPr>
    <w:rPr>
      <w:b/>
      <w:bCs/>
      <w:sz w:val="24"/>
      <w:szCs w:val="24"/>
    </w:rPr>
  </w:style>
  <w:style w:type="paragraph" w:styleId="58">
    <w:name w:val="Body Text First Indent"/>
    <w:basedOn w:val="25"/>
    <w:link w:val="113"/>
    <w:uiPriority w:val="0"/>
    <w:pPr>
      <w:numPr>
        <w:ilvl w:val="0"/>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paragraph" w:styleId="59">
    <w:name w:val="Body Text First Indent 2"/>
    <w:basedOn w:val="26"/>
    <w:link w:val="223"/>
    <w:semiHidden/>
    <w:unhideWhenUsed/>
    <w:uiPriority w:val="0"/>
    <w:pPr>
      <w:autoSpaceDE w:val="0"/>
      <w:autoSpaceDN w:val="0"/>
      <w:spacing w:after="120"/>
      <w:ind w:left="420" w:leftChars="200" w:firstLine="420" w:firstLineChars="200"/>
      <w:jc w:val="left"/>
    </w:pPr>
    <w:rPr>
      <w:rFonts w:ascii="宋体" w:hAnsi="宋体" w:cs="宋体"/>
      <w:i w:val="0"/>
      <w:iCs w:val="0"/>
      <w:kern w:val="0"/>
      <w:sz w:val="22"/>
      <w:szCs w:val="22"/>
      <w:lang w:eastAsia="en-US"/>
    </w:rPr>
  </w:style>
  <w:style w:type="table" w:styleId="61">
    <w:name w:val="Table Grid"/>
    <w:basedOn w:val="6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3">
    <w:name w:val="Strong"/>
    <w:basedOn w:val="62"/>
    <w:qFormat/>
    <w:uiPriority w:val="22"/>
    <w:rPr>
      <w:b/>
      <w:bCs/>
    </w:rPr>
  </w:style>
  <w:style w:type="character" w:styleId="64">
    <w:name w:val="endnote reference"/>
    <w:semiHidden/>
    <w:uiPriority w:val="0"/>
    <w:rPr>
      <w:vertAlign w:val="superscript"/>
    </w:rPr>
  </w:style>
  <w:style w:type="character" w:styleId="65">
    <w:name w:val="page number"/>
    <w:basedOn w:val="62"/>
    <w:uiPriority w:val="0"/>
  </w:style>
  <w:style w:type="character" w:styleId="66">
    <w:name w:val="FollowedHyperlink"/>
    <w:basedOn w:val="62"/>
    <w:uiPriority w:val="0"/>
    <w:rPr>
      <w:color w:val="800080"/>
      <w:u w:val="single"/>
    </w:rPr>
  </w:style>
  <w:style w:type="character" w:styleId="67">
    <w:name w:val="Emphasis"/>
    <w:basedOn w:val="62"/>
    <w:qFormat/>
    <w:uiPriority w:val="0"/>
  </w:style>
  <w:style w:type="character" w:styleId="68">
    <w:name w:val="line number"/>
    <w:basedOn w:val="62"/>
    <w:uiPriority w:val="0"/>
  </w:style>
  <w:style w:type="character" w:styleId="69">
    <w:name w:val="Hyperlink"/>
    <w:basedOn w:val="62"/>
    <w:uiPriority w:val="99"/>
    <w:rPr>
      <w:color w:val="0000FF" w:themeColor="hyperlink"/>
      <w:u w:val="single"/>
    </w:rPr>
  </w:style>
  <w:style w:type="character" w:styleId="70">
    <w:name w:val="annotation reference"/>
    <w:basedOn w:val="62"/>
    <w:uiPriority w:val="0"/>
    <w:rPr>
      <w:sz w:val="21"/>
      <w:szCs w:val="21"/>
    </w:rPr>
  </w:style>
  <w:style w:type="character" w:customStyle="1" w:styleId="71">
    <w:name w:val="标题 1 Char"/>
    <w:basedOn w:val="62"/>
    <w:link w:val="3"/>
    <w:qFormat/>
    <w:uiPriority w:val="0"/>
    <w:rPr>
      <w:rFonts w:ascii="宋体" w:hAnsi="宋体" w:cs="宋体"/>
      <w:b/>
      <w:bCs/>
      <w:sz w:val="28"/>
      <w:szCs w:val="28"/>
      <w:lang w:eastAsia="en-US"/>
    </w:rPr>
  </w:style>
  <w:style w:type="character" w:customStyle="1" w:styleId="72">
    <w:name w:val="标题 2 Char"/>
    <w:basedOn w:val="62"/>
    <w:link w:val="4"/>
    <w:uiPriority w:val="0"/>
    <w:rPr>
      <w:rFonts w:ascii="宋体" w:hAnsi="宋体" w:cs="宋体"/>
      <w:b/>
      <w:bCs/>
      <w:sz w:val="24"/>
      <w:szCs w:val="24"/>
      <w:lang w:eastAsia="en-US"/>
    </w:rPr>
  </w:style>
  <w:style w:type="character" w:customStyle="1" w:styleId="73">
    <w:name w:val="标题 3 Char"/>
    <w:basedOn w:val="62"/>
    <w:link w:val="5"/>
    <w:qFormat/>
    <w:uiPriority w:val="0"/>
    <w:rPr>
      <w:b/>
      <w:bCs/>
      <w:kern w:val="2"/>
      <w:sz w:val="32"/>
      <w:szCs w:val="32"/>
    </w:rPr>
  </w:style>
  <w:style w:type="character" w:customStyle="1" w:styleId="74">
    <w:name w:val="标题 4 Char"/>
    <w:basedOn w:val="62"/>
    <w:link w:val="6"/>
    <w:uiPriority w:val="0"/>
    <w:rPr>
      <w:b/>
      <w:kern w:val="2"/>
      <w:sz w:val="24"/>
      <w:szCs w:val="24"/>
    </w:rPr>
  </w:style>
  <w:style w:type="character" w:customStyle="1" w:styleId="75">
    <w:name w:val="标题 5 Char"/>
    <w:basedOn w:val="62"/>
    <w:link w:val="7"/>
    <w:uiPriority w:val="0"/>
    <w:rPr>
      <w:b/>
      <w:bCs/>
      <w:kern w:val="2"/>
      <w:sz w:val="28"/>
      <w:szCs w:val="28"/>
    </w:rPr>
  </w:style>
  <w:style w:type="character" w:customStyle="1" w:styleId="76">
    <w:name w:val="标题 6 Char"/>
    <w:basedOn w:val="62"/>
    <w:link w:val="8"/>
    <w:uiPriority w:val="0"/>
    <w:rPr>
      <w:b/>
      <w:sz w:val="24"/>
    </w:rPr>
  </w:style>
  <w:style w:type="character" w:customStyle="1" w:styleId="77">
    <w:name w:val="正文缩进 Char"/>
    <w:basedOn w:val="62"/>
    <w:link w:val="10"/>
    <w:qFormat/>
    <w:uiPriority w:val="0"/>
    <w:rPr>
      <w:sz w:val="24"/>
    </w:rPr>
  </w:style>
  <w:style w:type="character" w:customStyle="1" w:styleId="78">
    <w:name w:val="标题 7 Char"/>
    <w:basedOn w:val="62"/>
    <w:link w:val="9"/>
    <w:qFormat/>
    <w:uiPriority w:val="0"/>
    <w:rPr>
      <w:b/>
      <w:kern w:val="2"/>
      <w:sz w:val="24"/>
    </w:rPr>
  </w:style>
  <w:style w:type="character" w:customStyle="1" w:styleId="79">
    <w:name w:val="标题 8 Char"/>
    <w:basedOn w:val="62"/>
    <w:link w:val="11"/>
    <w:uiPriority w:val="0"/>
    <w:rPr>
      <w:rFonts w:ascii="Arial" w:hAnsi="Arial" w:eastAsia="黑体"/>
      <w:kern w:val="2"/>
      <w:sz w:val="24"/>
    </w:rPr>
  </w:style>
  <w:style w:type="character" w:customStyle="1" w:styleId="80">
    <w:name w:val="标题 9 Char"/>
    <w:basedOn w:val="62"/>
    <w:link w:val="12"/>
    <w:qFormat/>
    <w:uiPriority w:val="0"/>
    <w:rPr>
      <w:rFonts w:ascii="Arial" w:hAnsi="Arial" w:eastAsia="黑体"/>
      <w:kern w:val="2"/>
      <w:sz w:val="21"/>
    </w:rPr>
  </w:style>
  <w:style w:type="character" w:customStyle="1" w:styleId="81">
    <w:name w:val="正文文本 Char1"/>
    <w:basedOn w:val="62"/>
    <w:link w:val="25"/>
    <w:qFormat/>
    <w:uiPriority w:val="0"/>
    <w:rPr>
      <w:rFonts w:ascii="宋体" w:hAnsi="宋体" w:cs="宋体"/>
      <w:sz w:val="24"/>
      <w:szCs w:val="24"/>
      <w:lang w:eastAsia="en-US"/>
    </w:rPr>
  </w:style>
  <w:style w:type="character" w:customStyle="1" w:styleId="82">
    <w:name w:val="纯文本 Char"/>
    <w:basedOn w:val="62"/>
    <w:link w:val="32"/>
    <w:qFormat/>
    <w:uiPriority w:val="0"/>
    <w:rPr>
      <w:rFonts w:ascii="宋体" w:hAnsi="Courier New" w:cs="Courier New"/>
      <w:sz w:val="22"/>
      <w:szCs w:val="21"/>
      <w:lang w:eastAsia="en-US"/>
    </w:rPr>
  </w:style>
  <w:style w:type="character" w:customStyle="1" w:styleId="83">
    <w:name w:val="页脚 Char"/>
    <w:basedOn w:val="62"/>
    <w:link w:val="39"/>
    <w:qFormat/>
    <w:uiPriority w:val="99"/>
    <w:rPr>
      <w:rFonts w:ascii="宋体" w:hAnsi="宋体" w:cs="宋体"/>
      <w:sz w:val="18"/>
      <w:szCs w:val="18"/>
      <w:lang w:eastAsia="en-US"/>
    </w:rPr>
  </w:style>
  <w:style w:type="character" w:customStyle="1" w:styleId="84">
    <w:name w:val="页眉 Char"/>
    <w:basedOn w:val="62"/>
    <w:link w:val="40"/>
    <w:uiPriority w:val="0"/>
    <w:rPr>
      <w:rFonts w:ascii="宋体" w:hAnsi="宋体" w:cs="宋体"/>
      <w:sz w:val="18"/>
      <w:szCs w:val="22"/>
      <w:lang w:eastAsia="en-US"/>
    </w:rPr>
  </w:style>
  <w:style w:type="table" w:customStyle="1" w:styleId="85">
    <w:name w:val="Table Normal"/>
    <w:semiHidden/>
    <w:unhideWhenUsed/>
    <w:qFormat/>
    <w:uiPriority w:val="2"/>
    <w:tblPr>
      <w:tblCellMar>
        <w:top w:w="0" w:type="dxa"/>
        <w:left w:w="0" w:type="dxa"/>
        <w:bottom w:w="0" w:type="dxa"/>
        <w:right w:w="0" w:type="dxa"/>
      </w:tblCellMar>
    </w:tblPr>
  </w:style>
  <w:style w:type="paragraph" w:styleId="86">
    <w:name w:val="List Paragraph"/>
    <w:basedOn w:val="1"/>
    <w:link w:val="220"/>
    <w:qFormat/>
    <w:uiPriority w:val="34"/>
    <w:pPr>
      <w:spacing w:before="206"/>
      <w:ind w:left="959" w:hanging="361"/>
    </w:pPr>
  </w:style>
  <w:style w:type="paragraph" w:customStyle="1" w:styleId="87">
    <w:name w:val="Table Paragraph"/>
    <w:basedOn w:val="1"/>
    <w:qFormat/>
    <w:uiPriority w:val="1"/>
  </w:style>
  <w:style w:type="paragraph" w:customStyle="1" w:styleId="88">
    <w:name w:val="文档正文"/>
    <w:basedOn w:val="1"/>
    <w:qFormat/>
    <w:uiPriority w:val="0"/>
    <w:pPr>
      <w:spacing w:beforeLines="50" w:afterLines="50" w:line="360" w:lineRule="auto"/>
      <w:ind w:firstLine="560" w:firstLineChars="200"/>
    </w:pPr>
    <w:rPr>
      <w:rFonts w:cs="Arial"/>
      <w:bCs/>
      <w:sz w:val="28"/>
      <w:szCs w:val="28"/>
    </w:rPr>
  </w:style>
  <w:style w:type="paragraph" w:customStyle="1" w:styleId="8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90">
    <w:name w:val="blank"/>
    <w:uiPriority w:val="0"/>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eastAsia="宋体" w:cs="Times New Roman"/>
      <w:sz w:val="24"/>
      <w:lang w:val="en-US" w:eastAsia="en-US" w:bidi="ar-SA"/>
    </w:rPr>
  </w:style>
  <w:style w:type="character" w:customStyle="1" w:styleId="91">
    <w:name w:val="结束语 Char"/>
    <w:basedOn w:val="62"/>
    <w:link w:val="24"/>
    <w:uiPriority w:val="0"/>
    <w:rPr>
      <w:b/>
      <w:kern w:val="2"/>
      <w:sz w:val="21"/>
    </w:rPr>
  </w:style>
  <w:style w:type="character" w:customStyle="1" w:styleId="92">
    <w:name w:val="普通(网站) Char"/>
    <w:basedOn w:val="62"/>
    <w:link w:val="54"/>
    <w:locked/>
    <w:uiPriority w:val="0"/>
    <w:rPr>
      <w:rFonts w:ascii="宋体" w:hAnsi="宋体" w:cs="宋体"/>
      <w:sz w:val="24"/>
      <w:szCs w:val="24"/>
    </w:rPr>
  </w:style>
  <w:style w:type="character" w:customStyle="1" w:styleId="93">
    <w:name w:val="xdrichtextbox2"/>
    <w:basedOn w:val="62"/>
    <w:uiPriority w:val="0"/>
    <w:rPr>
      <w:color w:val="0000FF"/>
      <w:sz w:val="18"/>
      <w:szCs w:val="18"/>
      <w:u w:val="none"/>
      <w:bdr w:val="single" w:color="DCDCDC" w:sz="8" w:space="0"/>
      <w:shd w:val="clear" w:color="auto" w:fill="FFFFFF"/>
    </w:rPr>
  </w:style>
  <w:style w:type="character" w:customStyle="1" w:styleId="94">
    <w:name w:val="apple-converted-space"/>
    <w:basedOn w:val="62"/>
    <w:qFormat/>
    <w:uiPriority w:val="0"/>
  </w:style>
  <w:style w:type="character" w:customStyle="1" w:styleId="95">
    <w:name w:val="无间隔 Char"/>
    <w:basedOn w:val="62"/>
    <w:link w:val="96"/>
    <w:uiPriority w:val="0"/>
    <w:rPr>
      <w:rFonts w:ascii="Calibri" w:hAnsi="Calibri"/>
      <w:sz w:val="22"/>
      <w:szCs w:val="22"/>
    </w:rPr>
  </w:style>
  <w:style w:type="paragraph" w:styleId="96">
    <w:name w:val="No Spacing"/>
    <w:link w:val="95"/>
    <w:qFormat/>
    <w:uiPriority w:val="0"/>
    <w:rPr>
      <w:rFonts w:ascii="Calibri" w:hAnsi="Calibri" w:eastAsia="宋体" w:cs="Times New Roman"/>
      <w:sz w:val="22"/>
      <w:szCs w:val="22"/>
      <w:lang w:val="en-US" w:eastAsia="zh-CN" w:bidi="ar-SA"/>
    </w:rPr>
  </w:style>
  <w:style w:type="character" w:customStyle="1" w:styleId="97">
    <w:name w:val="批注文字 Char"/>
    <w:basedOn w:val="62"/>
    <w:link w:val="20"/>
    <w:uiPriority w:val="0"/>
    <w:rPr>
      <w:kern w:val="2"/>
      <w:sz w:val="21"/>
    </w:rPr>
  </w:style>
  <w:style w:type="character" w:customStyle="1" w:styleId="98">
    <w:name w:val="批注框文本 Char"/>
    <w:basedOn w:val="62"/>
    <w:link w:val="38"/>
    <w:uiPriority w:val="99"/>
    <w:rPr>
      <w:kern w:val="2"/>
      <w:sz w:val="18"/>
      <w:szCs w:val="18"/>
    </w:rPr>
  </w:style>
  <w:style w:type="character" w:customStyle="1" w:styleId="99">
    <w:name w:val="正文文本缩进 3 Char"/>
    <w:basedOn w:val="62"/>
    <w:link w:val="46"/>
    <w:uiPriority w:val="0"/>
    <w:rPr>
      <w:kern w:val="2"/>
      <w:sz w:val="28"/>
    </w:rPr>
  </w:style>
  <w:style w:type="character" w:customStyle="1" w:styleId="100">
    <w:name w:val="正文文本缩进 2 Char"/>
    <w:basedOn w:val="62"/>
    <w:link w:val="36"/>
    <w:uiPriority w:val="0"/>
    <w:rPr>
      <w:rFonts w:ascii="宋体" w:hAnsi="宋体"/>
      <w:iCs/>
      <w:kern w:val="2"/>
      <w:sz w:val="24"/>
      <w:szCs w:val="24"/>
    </w:rPr>
  </w:style>
  <w:style w:type="character" w:customStyle="1" w:styleId="101">
    <w:name w:val="正文文本 Char"/>
    <w:basedOn w:val="62"/>
    <w:uiPriority w:val="99"/>
    <w:rPr>
      <w:rFonts w:eastAsia="宋体"/>
      <w:sz w:val="24"/>
      <w:szCs w:val="24"/>
      <w:lang w:val="en-US" w:eastAsia="zh-CN" w:bidi="ar-SA"/>
    </w:rPr>
  </w:style>
  <w:style w:type="character" w:customStyle="1" w:styleId="102">
    <w:name w:val="en1"/>
    <w:basedOn w:val="62"/>
    <w:uiPriority w:val="0"/>
    <w:rPr>
      <w:b/>
      <w:bCs/>
      <w:color w:val="154C7F"/>
      <w:sz w:val="24"/>
      <w:szCs w:val="24"/>
    </w:rPr>
  </w:style>
  <w:style w:type="character" w:customStyle="1" w:styleId="103">
    <w:name w:val="font01"/>
    <w:basedOn w:val="62"/>
    <w:qFormat/>
    <w:uiPriority w:val="0"/>
    <w:rPr>
      <w:rFonts w:hint="eastAsia" w:ascii="宋体" w:hAnsi="宋体" w:eastAsia="宋体" w:cs="宋体"/>
      <w:color w:val="000000"/>
      <w:sz w:val="20"/>
      <w:szCs w:val="20"/>
      <w:u w:val="none"/>
    </w:rPr>
  </w:style>
  <w:style w:type="character" w:customStyle="1" w:styleId="104">
    <w:name w:val="标题 Char"/>
    <w:basedOn w:val="62"/>
    <w:link w:val="56"/>
    <w:uiPriority w:val="0"/>
    <w:rPr>
      <w:rFonts w:ascii="Arial" w:hAnsi="Arial" w:cs="Arial"/>
      <w:b/>
      <w:bCs/>
      <w:sz w:val="44"/>
      <w:szCs w:val="32"/>
    </w:rPr>
  </w:style>
  <w:style w:type="character" w:customStyle="1" w:styleId="105">
    <w:name w:val="正文文本缩进 Char"/>
    <w:basedOn w:val="62"/>
    <w:link w:val="26"/>
    <w:uiPriority w:val="0"/>
    <w:rPr>
      <w:i/>
      <w:iCs/>
      <w:kern w:val="2"/>
      <w:sz w:val="21"/>
    </w:rPr>
  </w:style>
  <w:style w:type="character" w:customStyle="1" w:styleId="106">
    <w:name w:val="正文文本 3 Char"/>
    <w:basedOn w:val="62"/>
    <w:link w:val="23"/>
    <w:uiPriority w:val="0"/>
    <w:rPr>
      <w:color w:val="0000FF"/>
      <w:kern w:val="2"/>
      <w:sz w:val="24"/>
      <w:szCs w:val="24"/>
    </w:rPr>
  </w:style>
  <w:style w:type="character" w:customStyle="1" w:styleId="107">
    <w:name w:val="font11"/>
    <w:basedOn w:val="62"/>
    <w:uiPriority w:val="0"/>
    <w:rPr>
      <w:rFonts w:hint="default" w:ascii="Times New Roman" w:hAnsi="Times New Roman" w:cs="Times New Roman"/>
      <w:color w:val="000000"/>
      <w:sz w:val="20"/>
      <w:szCs w:val="20"/>
      <w:u w:val="none"/>
    </w:rPr>
  </w:style>
  <w:style w:type="character" w:customStyle="1" w:styleId="108">
    <w:name w:val="glossaryitem"/>
    <w:basedOn w:val="62"/>
    <w:uiPriority w:val="0"/>
    <w:rPr>
      <w:u w:val="none"/>
    </w:rPr>
  </w:style>
  <w:style w:type="character" w:customStyle="1" w:styleId="109">
    <w:name w:val="HTML 预设格式 Char"/>
    <w:basedOn w:val="62"/>
    <w:link w:val="53"/>
    <w:uiPriority w:val="0"/>
    <w:rPr>
      <w:rFonts w:ascii="Arial Unicode MS" w:hAnsi="Arial Unicode MS" w:eastAsia="Courier New" w:cs="Courier New"/>
    </w:rPr>
  </w:style>
  <w:style w:type="character" w:customStyle="1" w:styleId="110">
    <w:name w:val="文档结构图 Char"/>
    <w:basedOn w:val="62"/>
    <w:link w:val="18"/>
    <w:uiPriority w:val="0"/>
    <w:rPr>
      <w:rFonts w:ascii="宋体"/>
      <w:sz w:val="28"/>
      <w:shd w:val="clear" w:color="auto" w:fill="000080"/>
    </w:rPr>
  </w:style>
  <w:style w:type="character" w:customStyle="1" w:styleId="111">
    <w:name w:val="日期 Char"/>
    <w:basedOn w:val="62"/>
    <w:link w:val="35"/>
    <w:uiPriority w:val="0"/>
    <w:rPr>
      <w:kern w:val="2"/>
      <w:sz w:val="21"/>
      <w:szCs w:val="24"/>
    </w:rPr>
  </w:style>
  <w:style w:type="character" w:customStyle="1" w:styleId="112">
    <w:name w:val="正文文本 2 Char"/>
    <w:basedOn w:val="62"/>
    <w:link w:val="51"/>
    <w:uiPriority w:val="0"/>
    <w:rPr>
      <w:kern w:val="2"/>
      <w:sz w:val="21"/>
      <w:szCs w:val="24"/>
    </w:rPr>
  </w:style>
  <w:style w:type="character" w:customStyle="1" w:styleId="113">
    <w:name w:val="正文首行缩进 Char"/>
    <w:basedOn w:val="101"/>
    <w:link w:val="58"/>
    <w:uiPriority w:val="0"/>
    <w:rPr>
      <w:rFonts w:eastAsia="宋体"/>
      <w:sz w:val="21"/>
      <w:szCs w:val="21"/>
      <w:lang w:val="en-US" w:eastAsia="zh-CN" w:bidi="ar-SA"/>
    </w:rPr>
  </w:style>
  <w:style w:type="character" w:customStyle="1" w:styleId="114">
    <w:name w:val="批注主题 Char"/>
    <w:basedOn w:val="97"/>
    <w:link w:val="57"/>
    <w:uiPriority w:val="0"/>
    <w:rPr>
      <w:b/>
      <w:bCs/>
      <w:kern w:val="2"/>
      <w:sz w:val="24"/>
      <w:szCs w:val="24"/>
    </w:rPr>
  </w:style>
  <w:style w:type="paragraph" w:customStyle="1" w:styleId="115">
    <w:name w:val="标题3(小3号)"/>
    <w:basedOn w:val="5"/>
    <w:next w:val="116"/>
    <w:uiPriority w:val="0"/>
    <w:pPr>
      <w:widowControl/>
      <w:spacing w:before="0" w:after="0" w:line="420" w:lineRule="exact"/>
    </w:pPr>
    <w:rPr>
      <w:b w:val="0"/>
      <w:bCs w:val="0"/>
      <w:color w:val="000000"/>
      <w:kern w:val="0"/>
      <w:sz w:val="30"/>
      <w:szCs w:val="21"/>
    </w:rPr>
  </w:style>
  <w:style w:type="paragraph" w:customStyle="1" w:styleId="116">
    <w:name w:val="正文小3号"/>
    <w:uiPriority w:val="0"/>
    <w:pPr>
      <w:ind w:firstLine="595"/>
      <w:jc w:val="both"/>
    </w:pPr>
    <w:rPr>
      <w:rFonts w:ascii="Times New Roman" w:hAnsi="Times New Roman" w:eastAsia="宋体" w:cs="Times New Roman"/>
      <w:sz w:val="30"/>
      <w:lang w:val="en-US" w:eastAsia="zh-CN" w:bidi="ar-SA"/>
    </w:rPr>
  </w:style>
  <w:style w:type="character" w:customStyle="1" w:styleId="117">
    <w:name w:val="正文首行缩进 Char1"/>
    <w:basedOn w:val="81"/>
    <w:uiPriority w:val="0"/>
    <w:rPr>
      <w:rFonts w:ascii="宋体" w:hAnsi="宋体" w:cs="宋体"/>
      <w:sz w:val="24"/>
      <w:szCs w:val="24"/>
      <w:lang w:eastAsia="en-US"/>
    </w:rPr>
  </w:style>
  <w:style w:type="character" w:customStyle="1" w:styleId="118">
    <w:name w:val="信息标题 Char"/>
    <w:basedOn w:val="62"/>
    <w:link w:val="52"/>
    <w:uiPriority w:val="0"/>
    <w:rPr>
      <w:rFonts w:ascii="Arial" w:hAnsi="Arial" w:cs="Arial"/>
      <w:kern w:val="2"/>
      <w:sz w:val="24"/>
      <w:szCs w:val="24"/>
      <w:shd w:val="pct20" w:color="auto" w:fill="auto"/>
    </w:rPr>
  </w:style>
  <w:style w:type="character" w:customStyle="1" w:styleId="119">
    <w:name w:val="正文文本 3 Char1"/>
    <w:basedOn w:val="62"/>
    <w:uiPriority w:val="0"/>
    <w:rPr>
      <w:rFonts w:ascii="宋体" w:hAnsi="宋体" w:cs="宋体"/>
      <w:sz w:val="16"/>
      <w:szCs w:val="16"/>
      <w:lang w:eastAsia="en-US"/>
    </w:rPr>
  </w:style>
  <w:style w:type="paragraph" w:customStyle="1" w:styleId="120">
    <w:name w:val="封面页眉"/>
    <w:basedOn w:val="40"/>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21">
    <w:name w:val="正"/>
    <w:basedOn w:val="1"/>
    <w:uiPriority w:val="0"/>
    <w:pPr>
      <w:tabs>
        <w:tab w:val="left" w:pos="-120"/>
      </w:tabs>
      <w:autoSpaceDE/>
      <w:autoSpaceDN/>
      <w:adjustRightInd w:val="0"/>
      <w:spacing w:line="560" w:lineRule="exact"/>
      <w:ind w:firstLine="600"/>
      <w:jc w:val="both"/>
      <w:textAlignment w:val="baseline"/>
    </w:pPr>
    <w:rPr>
      <w:rFonts w:ascii="仿宋_GB2312" w:hAnsi="Times New Roman" w:eastAsia="仿宋_GB2312" w:cs="Times New Roman"/>
      <w:color w:val="000000"/>
      <w:spacing w:val="20"/>
      <w:sz w:val="28"/>
      <w:szCs w:val="20"/>
      <w:lang w:eastAsia="zh-CN"/>
    </w:rPr>
  </w:style>
  <w:style w:type="character" w:customStyle="1" w:styleId="122">
    <w:name w:val="正文文本缩进 2 Char1"/>
    <w:basedOn w:val="62"/>
    <w:uiPriority w:val="0"/>
    <w:rPr>
      <w:rFonts w:ascii="宋体" w:hAnsi="宋体" w:cs="宋体"/>
      <w:sz w:val="22"/>
      <w:szCs w:val="22"/>
      <w:lang w:eastAsia="en-US"/>
    </w:rPr>
  </w:style>
  <w:style w:type="character" w:customStyle="1" w:styleId="123">
    <w:name w:val="批注文字 Char1"/>
    <w:basedOn w:val="62"/>
    <w:uiPriority w:val="0"/>
    <w:rPr>
      <w:rFonts w:ascii="宋体" w:hAnsi="宋体" w:cs="宋体"/>
      <w:sz w:val="22"/>
      <w:szCs w:val="22"/>
      <w:lang w:eastAsia="en-US"/>
    </w:rPr>
  </w:style>
  <w:style w:type="paragraph" w:customStyle="1" w:styleId="124">
    <w:name w:val="A"/>
    <w:basedOn w:val="1"/>
    <w:uiPriority w:val="0"/>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125">
    <w:name w:val="标题3"/>
    <w:basedOn w:val="5"/>
    <w:uiPriority w:val="0"/>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126">
    <w:name w:val="Char Char Char Char Char Char Char Char Char Char Char1 Char Char Char"/>
    <w:basedOn w:val="1"/>
    <w:uiPriority w:val="0"/>
    <w:pPr>
      <w:autoSpaceDE/>
      <w:autoSpaceDN/>
      <w:jc w:val="both"/>
    </w:pPr>
    <w:rPr>
      <w:rFonts w:ascii="Times New Roman" w:hAnsi="Times New Roman" w:cs="Times New Roman"/>
      <w:kern w:val="2"/>
      <w:sz w:val="21"/>
      <w:szCs w:val="24"/>
      <w:lang w:eastAsia="zh-CN"/>
    </w:rPr>
  </w:style>
  <w:style w:type="character" w:customStyle="1" w:styleId="127">
    <w:name w:val="文档结构图 Char1"/>
    <w:basedOn w:val="62"/>
    <w:uiPriority w:val="0"/>
    <w:rPr>
      <w:rFonts w:ascii="宋体" w:hAnsi="宋体" w:cs="宋体"/>
      <w:sz w:val="18"/>
      <w:szCs w:val="18"/>
      <w:lang w:eastAsia="en-US"/>
    </w:rPr>
  </w:style>
  <w:style w:type="character" w:customStyle="1" w:styleId="128">
    <w:name w:val="日期 Char1"/>
    <w:basedOn w:val="62"/>
    <w:uiPriority w:val="0"/>
    <w:rPr>
      <w:rFonts w:ascii="宋体" w:hAnsi="宋体" w:cs="宋体"/>
      <w:sz w:val="22"/>
      <w:szCs w:val="22"/>
      <w:lang w:eastAsia="en-US"/>
    </w:rPr>
  </w:style>
  <w:style w:type="paragraph" w:customStyle="1" w:styleId="129">
    <w:name w:val="标题3(3号)"/>
    <w:basedOn w:val="5"/>
    <w:next w:val="130"/>
    <w:uiPriority w:val="0"/>
    <w:pPr>
      <w:widowControl/>
      <w:spacing w:before="0" w:after="0" w:line="420" w:lineRule="exact"/>
    </w:pPr>
    <w:rPr>
      <w:b w:val="0"/>
      <w:bCs w:val="0"/>
      <w:color w:val="000000"/>
      <w:kern w:val="0"/>
      <w:szCs w:val="21"/>
    </w:rPr>
  </w:style>
  <w:style w:type="paragraph" w:customStyle="1" w:styleId="130">
    <w:name w:val="正文3号字"/>
    <w:uiPriority w:val="0"/>
    <w:pPr>
      <w:ind w:firstLine="652"/>
      <w:jc w:val="both"/>
    </w:pPr>
    <w:rPr>
      <w:rFonts w:ascii="Times New Roman" w:hAnsi="Times New Roman" w:eastAsia="宋体" w:cs="Times New Roman"/>
      <w:sz w:val="32"/>
      <w:lang w:val="en-US" w:eastAsia="zh-CN" w:bidi="ar-SA"/>
    </w:rPr>
  </w:style>
  <w:style w:type="paragraph" w:customStyle="1" w:styleId="131">
    <w:name w:val="封面页脚"/>
    <w:basedOn w:val="39"/>
    <w:uiPriority w:val="0"/>
    <w:pPr>
      <w:widowControl/>
      <w:tabs>
        <w:tab w:val="clear" w:pos="4153"/>
        <w:tab w:val="clear" w:pos="8306"/>
      </w:tabs>
      <w:autoSpaceDE/>
      <w:autoSpaceDN/>
      <w:jc w:val="center"/>
    </w:pPr>
    <w:rPr>
      <w:rFonts w:ascii="Times New Roman" w:hAnsi="Times New Roman" w:cs="Times New Roman"/>
      <w:lang w:eastAsia="zh-CN"/>
    </w:rPr>
  </w:style>
  <w:style w:type="character" w:customStyle="1" w:styleId="132">
    <w:name w:val="HTML 预设格式 Char1"/>
    <w:basedOn w:val="62"/>
    <w:uiPriority w:val="0"/>
    <w:rPr>
      <w:rFonts w:ascii="Courier New" w:hAnsi="Courier New" w:cs="Courier New"/>
      <w:lang w:eastAsia="en-US"/>
    </w:rPr>
  </w:style>
  <w:style w:type="character" w:customStyle="1" w:styleId="133">
    <w:name w:val="正文文本缩进 Char1"/>
    <w:basedOn w:val="62"/>
    <w:uiPriority w:val="0"/>
    <w:rPr>
      <w:rFonts w:ascii="宋体" w:hAnsi="宋体" w:cs="宋体"/>
      <w:sz w:val="22"/>
      <w:szCs w:val="22"/>
      <w:lang w:eastAsia="en-US"/>
    </w:rPr>
  </w:style>
  <w:style w:type="paragraph" w:customStyle="1" w:styleId="134">
    <w:name w:val="标题2(小3号)"/>
    <w:basedOn w:val="4"/>
    <w:next w:val="135"/>
    <w:uiPriority w:val="0"/>
    <w:pPr>
      <w:keepNext/>
      <w:keepLines/>
      <w:widowControl/>
      <w:autoSpaceDE/>
      <w:autoSpaceDN/>
      <w:spacing w:line="360" w:lineRule="auto"/>
      <w:ind w:left="420" w:hanging="420" w:hangingChars="200"/>
      <w:jc w:val="both"/>
    </w:pPr>
    <w:rPr>
      <w:rFonts w:cs="Times New Roman"/>
      <w:b w:val="0"/>
      <w:bCs w:val="0"/>
      <w:color w:val="000000"/>
      <w:sz w:val="30"/>
      <w:szCs w:val="21"/>
      <w:lang w:eastAsia="zh-CN"/>
    </w:rPr>
  </w:style>
  <w:style w:type="paragraph" w:customStyle="1" w:styleId="135">
    <w:name w:val="正文4号字"/>
    <w:uiPriority w:val="0"/>
    <w:pPr>
      <w:ind w:firstLine="567"/>
      <w:jc w:val="both"/>
    </w:pPr>
    <w:rPr>
      <w:rFonts w:ascii="Times New Roman" w:hAnsi="Times New Roman" w:eastAsia="宋体" w:cs="Times New Roman"/>
      <w:sz w:val="28"/>
      <w:lang w:val="en-US" w:eastAsia="zh-CN" w:bidi="ar-SA"/>
    </w:rPr>
  </w:style>
  <w:style w:type="paragraph" w:customStyle="1" w:styleId="136">
    <w:name w:val="标题1(2号)"/>
    <w:basedOn w:val="3"/>
    <w:next w:val="130"/>
    <w:uiPriority w:val="0"/>
    <w:pPr>
      <w:keepLines/>
      <w:autoSpaceDE/>
      <w:autoSpaceDN/>
      <w:ind w:left="0"/>
      <w:jc w:val="both"/>
    </w:pPr>
    <w:rPr>
      <w:rFonts w:ascii="Arial" w:hAnsi="Arial" w:cs="Times New Roman"/>
      <w:bCs w:val="0"/>
      <w:color w:val="0000FF"/>
      <w:kern w:val="44"/>
      <w:sz w:val="44"/>
      <w:szCs w:val="36"/>
      <w:lang w:eastAsia="zh-CN"/>
    </w:rPr>
  </w:style>
  <w:style w:type="paragraph" w:customStyle="1" w:styleId="137">
    <w:name w:val="Content"/>
    <w:basedOn w:val="1"/>
    <w:uiPriority w:val="0"/>
    <w:pPr>
      <w:autoSpaceDE/>
      <w:autoSpaceDN/>
      <w:jc w:val="both"/>
    </w:pPr>
    <w:rPr>
      <w:rFonts w:ascii="Times New Roman" w:hAnsi="Times New Roman" w:cs="Times New Roman"/>
      <w:kern w:val="2"/>
      <w:sz w:val="20"/>
      <w:szCs w:val="21"/>
      <w:lang w:eastAsia="zh-CN"/>
    </w:rPr>
  </w:style>
  <w:style w:type="paragraph" w:customStyle="1" w:styleId="138">
    <w:name w:val="Char Char Char Char Char Char Char Char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39">
    <w:name w:val="正文5号字"/>
    <w:uiPriority w:val="0"/>
    <w:pPr>
      <w:jc w:val="both"/>
    </w:pPr>
    <w:rPr>
      <w:rFonts w:ascii="Times New Roman" w:hAnsi="Times New Roman" w:eastAsia="宋体" w:cs="Times New Roman"/>
      <w:sz w:val="21"/>
      <w:lang w:val="en-US" w:eastAsia="zh-CN" w:bidi="ar-SA"/>
    </w:rPr>
  </w:style>
  <w:style w:type="character" w:customStyle="1" w:styleId="140">
    <w:name w:val="正文文本 2 Char1"/>
    <w:basedOn w:val="62"/>
    <w:uiPriority w:val="0"/>
    <w:rPr>
      <w:rFonts w:ascii="宋体" w:hAnsi="宋体" w:cs="宋体"/>
      <w:sz w:val="22"/>
      <w:szCs w:val="22"/>
      <w:lang w:eastAsia="en-US"/>
    </w:rPr>
  </w:style>
  <w:style w:type="character" w:customStyle="1" w:styleId="141">
    <w:name w:val="标题 Char1"/>
    <w:basedOn w:val="62"/>
    <w:uiPriority w:val="0"/>
    <w:rPr>
      <w:rFonts w:asciiTheme="majorHAnsi" w:hAnsiTheme="majorHAnsi" w:cstheme="majorBidi"/>
      <w:b/>
      <w:bCs/>
      <w:sz w:val="32"/>
      <w:szCs w:val="32"/>
      <w:lang w:eastAsia="en-US"/>
    </w:rPr>
  </w:style>
  <w:style w:type="character" w:customStyle="1" w:styleId="142">
    <w:name w:val="正文文本缩进 3 Char1"/>
    <w:basedOn w:val="62"/>
    <w:uiPriority w:val="0"/>
    <w:rPr>
      <w:rFonts w:ascii="宋体" w:hAnsi="宋体" w:cs="宋体"/>
      <w:sz w:val="16"/>
      <w:szCs w:val="16"/>
      <w:lang w:eastAsia="en-US"/>
    </w:rPr>
  </w:style>
  <w:style w:type="paragraph" w:customStyle="1" w:styleId="143">
    <w:name w:val="标准"/>
    <w:basedOn w:val="1"/>
    <w:uiPriority w:val="0"/>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144">
    <w:name w:val="Char1"/>
    <w:basedOn w:val="1"/>
    <w:uiPriority w:val="0"/>
    <w:pPr>
      <w:autoSpaceDE/>
      <w:autoSpaceDN/>
      <w:jc w:val="both"/>
    </w:pPr>
    <w:rPr>
      <w:rFonts w:ascii="Times New Roman" w:hAnsi="Times New Roman" w:cs="Times New Roman"/>
      <w:kern w:val="2"/>
      <w:sz w:val="21"/>
      <w:szCs w:val="21"/>
      <w:lang w:eastAsia="zh-CN"/>
    </w:rPr>
  </w:style>
  <w:style w:type="character" w:customStyle="1" w:styleId="145">
    <w:name w:val="批注框文本 Char1"/>
    <w:basedOn w:val="62"/>
    <w:uiPriority w:val="0"/>
    <w:rPr>
      <w:rFonts w:ascii="宋体" w:hAnsi="宋体" w:cs="宋体"/>
      <w:sz w:val="18"/>
      <w:szCs w:val="18"/>
      <w:lang w:eastAsia="en-US"/>
    </w:rPr>
  </w:style>
  <w:style w:type="character" w:customStyle="1" w:styleId="146">
    <w:name w:val="批注主题 Char1"/>
    <w:basedOn w:val="123"/>
    <w:uiPriority w:val="0"/>
    <w:rPr>
      <w:rFonts w:ascii="宋体" w:hAnsi="宋体" w:cs="宋体"/>
      <w:b/>
      <w:bCs/>
      <w:sz w:val="22"/>
      <w:szCs w:val="22"/>
      <w:lang w:eastAsia="en-US"/>
    </w:rPr>
  </w:style>
  <w:style w:type="paragraph" w:customStyle="1" w:styleId="147">
    <w:name w:val="封底页脚"/>
    <w:basedOn w:val="39"/>
    <w:uiPriority w:val="0"/>
    <w:pPr>
      <w:widowControl/>
      <w:tabs>
        <w:tab w:val="clear" w:pos="4153"/>
        <w:tab w:val="clear" w:pos="8306"/>
      </w:tabs>
      <w:autoSpaceDE/>
      <w:autoSpaceDN/>
      <w:jc w:val="center"/>
    </w:pPr>
    <w:rPr>
      <w:rFonts w:ascii="Times New Roman" w:hAnsi="Times New Roman" w:cs="Times New Roman"/>
      <w:lang w:eastAsia="zh-CN"/>
    </w:rPr>
  </w:style>
  <w:style w:type="paragraph" w:customStyle="1" w:styleId="148">
    <w:name w:val="标题3(4号)"/>
    <w:basedOn w:val="5"/>
    <w:next w:val="135"/>
    <w:uiPriority w:val="0"/>
    <w:pPr>
      <w:widowControl/>
      <w:spacing w:before="0" w:after="0" w:line="420" w:lineRule="exact"/>
    </w:pPr>
    <w:rPr>
      <w:b w:val="0"/>
      <w:bCs w:val="0"/>
      <w:color w:val="000000"/>
      <w:kern w:val="0"/>
      <w:sz w:val="28"/>
      <w:szCs w:val="21"/>
    </w:rPr>
  </w:style>
  <w:style w:type="paragraph" w:customStyle="1" w:styleId="149">
    <w:name w:val="标题2"/>
    <w:basedOn w:val="4"/>
    <w:link w:val="236"/>
    <w:uiPriority w:val="0"/>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150">
    <w:name w:val="默认段落字体 Para Char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51">
    <w:name w:val="xl31"/>
    <w:basedOn w:val="1"/>
    <w:uiPriority w:val="0"/>
    <w:pPr>
      <w:widowControl/>
      <w:numPr>
        <w:ilvl w:val="0"/>
        <w:numId w:val="4"/>
      </w:numPr>
      <w:pBdr>
        <w:bottom w:val="single" w:color="auto" w:sz="4" w:space="0"/>
        <w:right w:val="single" w:color="auto" w:sz="4" w:space="0"/>
      </w:pBdr>
      <w:tabs>
        <w:tab w:val="left" w:pos="1382"/>
      </w:tabs>
      <w:autoSpaceDE/>
      <w:autoSpaceDN/>
      <w:spacing w:before="100" w:beforeAutospacing="1" w:after="100" w:afterAutospacing="1"/>
      <w:jc w:val="center"/>
    </w:pPr>
    <w:rPr>
      <w:rFonts w:ascii="Times New Roman" w:hAnsi="Times New Roman" w:eastAsia="Arial Unicode MS" w:cs="Times New Roman"/>
      <w:sz w:val="20"/>
      <w:szCs w:val="20"/>
      <w:lang w:eastAsia="zh-CN"/>
    </w:rPr>
  </w:style>
  <w:style w:type="paragraph" w:customStyle="1" w:styleId="152">
    <w:name w:val="金2"/>
    <w:basedOn w:val="1"/>
    <w:next w:val="1"/>
    <w:uiPriority w:val="0"/>
    <w:pPr>
      <w:autoSpaceDE/>
      <w:autoSpaceDN/>
      <w:spacing w:line="360" w:lineRule="auto"/>
    </w:pPr>
    <w:rPr>
      <w:rFonts w:ascii="Times New Roman" w:hAnsi="Times New Roman" w:cs="Times New Roman"/>
      <w:b/>
      <w:kern w:val="2"/>
      <w:sz w:val="24"/>
      <w:szCs w:val="20"/>
      <w:lang w:eastAsia="zh-CN"/>
    </w:rPr>
  </w:style>
  <w:style w:type="paragraph" w:customStyle="1" w:styleId="153">
    <w:name w:val="Char11"/>
    <w:basedOn w:val="1"/>
    <w:uiPriority w:val="0"/>
    <w:pPr>
      <w:autoSpaceDE/>
      <w:autoSpaceDN/>
      <w:jc w:val="both"/>
    </w:pPr>
    <w:rPr>
      <w:rFonts w:ascii="Times New Roman" w:hAnsi="Times New Roman" w:cs="Times New Roman"/>
      <w:kern w:val="2"/>
      <w:sz w:val="21"/>
      <w:szCs w:val="24"/>
      <w:lang w:eastAsia="zh-CN"/>
    </w:rPr>
  </w:style>
  <w:style w:type="paragraph" w:customStyle="1" w:styleId="154">
    <w:name w:val="消息标题标签"/>
    <w:basedOn w:val="52"/>
    <w:next w:val="52"/>
    <w:uiPriority w:val="0"/>
    <w:pPr>
      <w:keepLines/>
      <w:widowControl/>
      <w:pBdr>
        <w:top w:val="none" w:color="auto" w:sz="0" w:space="0"/>
        <w:left w:val="none" w:color="auto" w:sz="0" w:space="0"/>
        <w:bottom w:val="none" w:color="auto" w:sz="0" w:space="0"/>
        <w:right w:val="none" w:color="auto" w:sz="0" w:space="0"/>
      </w:pBdr>
      <w:shd w:val="clear" w:color="auto" w:fill="auto"/>
      <w:spacing w:before="40" w:line="140" w:lineRule="atLeast"/>
      <w:ind w:left="0" w:leftChars="0" w:firstLine="7" w:firstLineChars="3"/>
      <w:jc w:val="left"/>
    </w:pPr>
    <w:rPr>
      <w:rFonts w:ascii="宋体" w:hAnsi="宋体" w:cs="Times New Roman"/>
      <w:bCs/>
      <w:caps/>
      <w:kern w:val="0"/>
      <w:position w:val="6"/>
      <w:szCs w:val="20"/>
      <w:lang w:bidi="he-IL"/>
    </w:rPr>
  </w:style>
  <w:style w:type="paragraph" w:customStyle="1" w:styleId="155">
    <w:name w:val="默认段落字体 Para Char"/>
    <w:basedOn w:val="1"/>
    <w:uiPriority w:val="0"/>
    <w:pPr>
      <w:autoSpaceDE/>
      <w:autoSpaceDN/>
      <w:spacing w:line="360" w:lineRule="auto"/>
      <w:jc w:val="both"/>
    </w:pPr>
    <w:rPr>
      <w:kern w:val="2"/>
      <w:sz w:val="24"/>
      <w:szCs w:val="24"/>
      <w:lang w:eastAsia="zh-CN"/>
    </w:rPr>
  </w:style>
  <w:style w:type="paragraph" w:customStyle="1" w:styleId="156">
    <w:name w:val="Char Char Char Char Char Char Char Char Char Char Char1"/>
    <w:basedOn w:val="1"/>
    <w:uiPriority w:val="0"/>
    <w:pPr>
      <w:autoSpaceDE/>
      <w:autoSpaceDN/>
      <w:jc w:val="both"/>
    </w:pPr>
    <w:rPr>
      <w:rFonts w:ascii="Times New Roman" w:hAnsi="Times New Roman" w:cs="Times New Roman"/>
      <w:kern w:val="2"/>
      <w:sz w:val="21"/>
      <w:szCs w:val="24"/>
      <w:lang w:eastAsia="zh-CN"/>
    </w:rPr>
  </w:style>
  <w:style w:type="paragraph" w:customStyle="1" w:styleId="157">
    <w:name w:val="样式1"/>
    <w:basedOn w:val="1"/>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158">
    <w:name w:val="表格"/>
    <w:basedOn w:val="1"/>
    <w:uiPriority w:val="0"/>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159">
    <w:name w:val="Char Char Char Char Char Char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60">
    <w:name w:val="正文2"/>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161">
    <w:name w:val="样式2"/>
    <w:basedOn w:val="1"/>
    <w:link w:val="237"/>
    <w:qFormat/>
    <w:uiPriority w:val="0"/>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162">
    <w:name w:val="Char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63">
    <w:name w:val="封底页眉"/>
    <w:basedOn w:val="40"/>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64">
    <w:name w:val="c"/>
    <w:uiPriority w:val="0"/>
    <w:pPr>
      <w:widowControl w:val="0"/>
      <w:autoSpaceDE w:val="0"/>
      <w:autoSpaceDN w:val="0"/>
      <w:adjustRightInd w:val="0"/>
      <w:jc w:val="both"/>
    </w:pPr>
    <w:rPr>
      <w:rFonts w:ascii="五" w:hAnsi="Times New Roman" w:eastAsia="五" w:cs="Times New Roman"/>
      <w:sz w:val="24"/>
      <w:lang w:val="en-US" w:eastAsia="zh-CN" w:bidi="ar-SA"/>
    </w:rPr>
  </w:style>
  <w:style w:type="paragraph" w:customStyle="1" w:styleId="165">
    <w:name w:val="标题3(小4号)"/>
    <w:basedOn w:val="5"/>
    <w:next w:val="166"/>
    <w:uiPriority w:val="0"/>
    <w:pPr>
      <w:widowControl/>
      <w:spacing w:before="0" w:after="0" w:line="420" w:lineRule="exact"/>
    </w:pPr>
    <w:rPr>
      <w:b w:val="0"/>
      <w:bCs w:val="0"/>
      <w:color w:val="000000"/>
      <w:kern w:val="0"/>
      <w:sz w:val="24"/>
      <w:szCs w:val="21"/>
    </w:rPr>
  </w:style>
  <w:style w:type="paragraph" w:customStyle="1" w:styleId="166">
    <w:name w:val="正文小4号"/>
    <w:uiPriority w:val="0"/>
    <w:pPr>
      <w:ind w:firstLine="539"/>
      <w:jc w:val="both"/>
    </w:pPr>
    <w:rPr>
      <w:rFonts w:ascii="Times New Roman" w:hAnsi="Times New Roman" w:eastAsia="宋体" w:cs="Times New Roman"/>
      <w:sz w:val="24"/>
      <w:lang w:val="en-US" w:eastAsia="zh-CN" w:bidi="ar-SA"/>
    </w:rPr>
  </w:style>
  <w:style w:type="paragraph" w:customStyle="1" w:styleId="167">
    <w:name w:val="标题3(5号)"/>
    <w:basedOn w:val="5"/>
    <w:next w:val="139"/>
    <w:uiPriority w:val="0"/>
    <w:pPr>
      <w:widowControl/>
      <w:spacing w:before="0" w:after="0" w:line="420" w:lineRule="exact"/>
    </w:pPr>
    <w:rPr>
      <w:b w:val="0"/>
      <w:bCs w:val="0"/>
      <w:color w:val="000000"/>
      <w:kern w:val="0"/>
      <w:sz w:val="21"/>
      <w:szCs w:val="21"/>
    </w:rPr>
  </w:style>
  <w:style w:type="paragraph" w:customStyle="1" w:styleId="168">
    <w:name w:val="Char Char Char Char Char1"/>
    <w:basedOn w:val="1"/>
    <w:uiPriority w:val="0"/>
    <w:pPr>
      <w:autoSpaceDE/>
      <w:autoSpaceDN/>
      <w:jc w:val="both"/>
    </w:pPr>
    <w:rPr>
      <w:rFonts w:ascii="Times New Roman" w:hAnsi="Times New Roman" w:cs="Times New Roman"/>
      <w:kern w:val="2"/>
      <w:sz w:val="21"/>
      <w:szCs w:val="24"/>
      <w:lang w:eastAsia="zh-CN"/>
    </w:rPr>
  </w:style>
  <w:style w:type="paragraph" w:customStyle="1" w:styleId="169">
    <w:name w:val="xl25"/>
    <w:basedOn w:val="1"/>
    <w:uiPriority w:val="0"/>
    <w:pPr>
      <w:widowControl/>
      <w:pBdr>
        <w:top w:val="single" w:color="auto" w:sz="4" w:space="0"/>
        <w:bottom w:val="single" w:color="auto" w:sz="4" w:space="0"/>
        <w:right w:val="single" w:color="auto" w:sz="4" w:space="0"/>
      </w:pBdr>
      <w:autoSpaceDE/>
      <w:autoSpaceDN/>
      <w:spacing w:before="100" w:beforeAutospacing="1" w:after="100" w:afterAutospacing="1"/>
      <w:jc w:val="both"/>
    </w:pPr>
    <w:rPr>
      <w:rFonts w:ascii="Times New Roman" w:hAnsi="Times New Roman" w:eastAsia="Arial Unicode MS" w:cs="Times New Roman"/>
      <w:sz w:val="21"/>
      <w:szCs w:val="21"/>
      <w:lang w:eastAsia="zh-CN"/>
    </w:rPr>
  </w:style>
  <w:style w:type="paragraph" w:customStyle="1" w:styleId="170">
    <w:name w:val="标题2(小2号)"/>
    <w:basedOn w:val="4"/>
    <w:next w:val="130"/>
    <w:uiPriority w:val="0"/>
    <w:pPr>
      <w:keepNext/>
      <w:keepLines/>
      <w:widowControl/>
      <w:autoSpaceDE/>
      <w:autoSpaceDN/>
      <w:spacing w:line="360" w:lineRule="auto"/>
      <w:ind w:left="420" w:hanging="420" w:hangingChars="200"/>
      <w:jc w:val="both"/>
    </w:pPr>
    <w:rPr>
      <w:rFonts w:cs="Times New Roman"/>
      <w:b w:val="0"/>
      <w:bCs w:val="0"/>
      <w:color w:val="000000"/>
      <w:sz w:val="36"/>
      <w:szCs w:val="21"/>
      <w:lang w:eastAsia="zh-CN"/>
    </w:rPr>
  </w:style>
  <w:style w:type="paragraph" w:customStyle="1" w:styleId="171">
    <w:name w:val="标题1 Char Char Char"/>
    <w:basedOn w:val="3"/>
    <w:uiPriority w:val="0"/>
    <w:pPr>
      <w:keepNext/>
      <w:keepLines/>
      <w:tabs>
        <w:tab w:val="left" w:pos="540"/>
      </w:tabs>
      <w:autoSpaceDE/>
      <w:autoSpaceDN/>
      <w:adjustRightInd w:val="0"/>
      <w:snapToGrid w:val="0"/>
      <w:spacing w:afterLines="50" w:line="400" w:lineRule="exact"/>
      <w:ind w:left="0"/>
      <w:jc w:val="center"/>
      <w:textAlignment w:val="baseline"/>
    </w:pPr>
    <w:rPr>
      <w:rFonts w:ascii="Times New Roman" w:hAnsi="Times New Roman" w:eastAsia="黑体" w:cs="Times New Roman"/>
      <w:kern w:val="44"/>
      <w:sz w:val="44"/>
      <w:szCs w:val="20"/>
      <w:lang w:eastAsia="zh-CN"/>
    </w:rPr>
  </w:style>
  <w:style w:type="paragraph" w:customStyle="1" w:styleId="172">
    <w:name w:val="标题1"/>
    <w:basedOn w:val="3"/>
    <w:uiPriority w:val="0"/>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173">
    <w:name w:val="页眉（隶书）"/>
    <w:basedOn w:val="40"/>
    <w:uiPriority w:val="0"/>
    <w:pPr>
      <w:pBdr>
        <w:top w:val="none" w:color="auto" w:sz="0" w:space="0"/>
        <w:left w:val="none" w:color="auto" w:sz="0" w:space="0"/>
        <w:bottom w:val="single" w:color="auto" w:sz="6" w:space="1"/>
        <w:right w:val="none" w:color="auto" w:sz="0" w:space="0"/>
      </w:pBdr>
      <w:tabs>
        <w:tab w:val="left" w:pos="140"/>
        <w:tab w:val="center" w:pos="4760"/>
        <w:tab w:val="right" w:pos="9240"/>
        <w:tab w:val="clear" w:pos="4153"/>
        <w:tab w:val="clear" w:pos="8306"/>
      </w:tabs>
      <w:autoSpaceDE/>
      <w:autoSpaceDN/>
      <w:adjustRightInd w:val="0"/>
      <w:textAlignment w:val="baseline"/>
    </w:pPr>
    <w:rPr>
      <w:rFonts w:ascii="隶书" w:eastAsia="隶书" w:cs="Times New Roman"/>
      <w:bCs/>
      <w:color w:val="0000FF"/>
      <w:sz w:val="21"/>
      <w:szCs w:val="18"/>
      <w:lang w:eastAsia="zh-CN"/>
    </w:rPr>
  </w:style>
  <w:style w:type="paragraph" w:customStyle="1" w:styleId="174">
    <w:name w:val="标题1(4号)"/>
    <w:basedOn w:val="3"/>
    <w:next w:val="139"/>
    <w:uiPriority w:val="0"/>
    <w:pPr>
      <w:keepLines/>
      <w:autoSpaceDE/>
      <w:autoSpaceDN/>
      <w:spacing w:beforeLines="50" w:afterLines="50"/>
      <w:ind w:left="0"/>
      <w:jc w:val="both"/>
    </w:pPr>
    <w:rPr>
      <w:rFonts w:cs="Times New Roman"/>
      <w:color w:val="000000"/>
      <w:kern w:val="44"/>
      <w:sz w:val="36"/>
      <w:szCs w:val="36"/>
      <w:lang w:eastAsia="zh-CN"/>
    </w:rPr>
  </w:style>
  <w:style w:type="paragraph" w:customStyle="1" w:styleId="175">
    <w:name w:val="表格侧编号"/>
    <w:next w:val="1"/>
    <w:uiPriority w:val="0"/>
    <w:pPr>
      <w:widowControl w:val="0"/>
      <w:adjustRightInd w:val="0"/>
      <w:snapToGrid w:val="0"/>
      <w:spacing w:before="40" w:after="20" w:line="240" w:lineRule="atLeast"/>
      <w:jc w:val="center"/>
      <w:textAlignment w:val="baseline"/>
    </w:pPr>
    <w:rPr>
      <w:rFonts w:ascii="Arial" w:hAnsi="Arial" w:eastAsia="宋体" w:cs="Times New Roman"/>
      <w:sz w:val="24"/>
      <w:lang w:val="en-US" w:eastAsia="zh-CN" w:bidi="ar-SA"/>
    </w:rPr>
  </w:style>
  <w:style w:type="paragraph" w:customStyle="1" w:styleId="176">
    <w:name w:val="Char Char Char Char Char Char Char Char Char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77">
    <w:name w:val="标题2(4号)"/>
    <w:basedOn w:val="4"/>
    <w:next w:val="166"/>
    <w:uiPriority w:val="0"/>
    <w:pPr>
      <w:keepNext/>
      <w:keepLines/>
      <w:widowControl/>
      <w:autoSpaceDE/>
      <w:autoSpaceDN/>
      <w:spacing w:line="360" w:lineRule="auto"/>
      <w:ind w:left="420" w:hanging="420" w:hangingChars="200"/>
      <w:jc w:val="both"/>
    </w:pPr>
    <w:rPr>
      <w:rFonts w:cs="Times New Roman"/>
      <w:b w:val="0"/>
      <w:bCs w:val="0"/>
      <w:color w:val="000000"/>
      <w:sz w:val="28"/>
      <w:szCs w:val="21"/>
      <w:lang w:eastAsia="zh-CN"/>
    </w:rPr>
  </w:style>
  <w:style w:type="paragraph" w:customStyle="1" w:styleId="178">
    <w:name w:val="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79">
    <w:name w:val="view_all_pics"/>
    <w:basedOn w:val="1"/>
    <w:uiPriority w:val="0"/>
    <w:pPr>
      <w:widowControl/>
      <w:autoSpaceDE/>
      <w:autoSpaceDN/>
      <w:spacing w:before="100" w:beforeAutospacing="1" w:after="100" w:afterAutospacing="1"/>
    </w:pPr>
    <w:rPr>
      <w:sz w:val="24"/>
      <w:szCs w:val="24"/>
      <w:lang w:eastAsia="zh-CN"/>
    </w:rPr>
  </w:style>
  <w:style w:type="paragraph" w:customStyle="1" w:styleId="180">
    <w:name w:val="p0"/>
    <w:basedOn w:val="1"/>
    <w:uiPriority w:val="0"/>
    <w:pPr>
      <w:widowControl/>
      <w:autoSpaceDE/>
      <w:autoSpaceDN/>
    </w:pPr>
    <w:rPr>
      <w:sz w:val="24"/>
      <w:szCs w:val="24"/>
      <w:lang w:eastAsia="zh-CN"/>
    </w:rPr>
  </w:style>
  <w:style w:type="paragraph" w:customStyle="1" w:styleId="181">
    <w:name w:val="字元 字元1"/>
    <w:basedOn w:val="1"/>
    <w:uiPriority w:val="0"/>
    <w:pPr>
      <w:autoSpaceDE/>
      <w:autoSpaceDN/>
      <w:adjustRightInd w:val="0"/>
      <w:snapToGrid w:val="0"/>
      <w:spacing w:line="360" w:lineRule="auto"/>
      <w:ind w:left="96" w:leftChars="40" w:firstLine="200" w:firstLineChars="200"/>
    </w:pPr>
    <w:rPr>
      <w:rFonts w:ascii="Times New Roman" w:cs="Times New Roman"/>
      <w:kern w:val="2"/>
      <w:sz w:val="24"/>
      <w:szCs w:val="24"/>
      <w:lang w:eastAsia="zh-CN"/>
    </w:rPr>
  </w:style>
  <w:style w:type="paragraph" w:customStyle="1" w:styleId="182">
    <w:name w:val="样式3"/>
    <w:basedOn w:val="1"/>
    <w:link w:val="248"/>
    <w:qFormat/>
    <w:uiPriority w:val="0"/>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83">
    <w:name w:val="标题1(3号)"/>
    <w:basedOn w:val="3"/>
    <w:next w:val="135"/>
    <w:uiPriority w:val="0"/>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184">
    <w:name w:val="Char"/>
    <w:basedOn w:val="1"/>
    <w:uiPriority w:val="0"/>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185">
    <w:name w:val="Char2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86">
    <w:name w:val="附件"/>
    <w:basedOn w:val="1"/>
    <w:uiPriority w:val="0"/>
    <w:pPr>
      <w:autoSpaceDE/>
      <w:autoSpaceDN/>
      <w:adjustRightInd w:val="0"/>
      <w:spacing w:before="120" w:after="60"/>
      <w:jc w:val="center"/>
      <w:textAlignment w:val="center"/>
    </w:pPr>
    <w:rPr>
      <w:rFonts w:ascii="黑体" w:hAnsi="Times New Roman" w:eastAsia="黑体" w:cs="Times New Roman"/>
      <w:b/>
      <w:bCs/>
      <w:sz w:val="32"/>
      <w:szCs w:val="32"/>
      <w:lang w:eastAsia="zh-CN"/>
    </w:rPr>
  </w:style>
  <w:style w:type="paragraph" w:customStyle="1" w:styleId="187">
    <w:name w:val="标题1(小3号)"/>
    <w:basedOn w:val="3"/>
    <w:next w:val="166"/>
    <w:qFormat/>
    <w:uiPriority w:val="0"/>
    <w:pPr>
      <w:keepLines/>
      <w:autoSpaceDE/>
      <w:autoSpaceDN/>
      <w:ind w:left="0"/>
      <w:jc w:val="both"/>
    </w:pPr>
    <w:rPr>
      <w:rFonts w:ascii="Arial" w:hAnsi="Arial" w:cs="Times New Roman"/>
      <w:bCs w:val="0"/>
      <w:color w:val="0000FF"/>
      <w:kern w:val="44"/>
      <w:sz w:val="30"/>
      <w:szCs w:val="36"/>
      <w:lang w:eastAsia="zh-CN"/>
    </w:rPr>
  </w:style>
  <w:style w:type="paragraph" w:customStyle="1" w:styleId="188">
    <w:name w:val="标题1(小2号)"/>
    <w:basedOn w:val="3"/>
    <w:next w:val="116"/>
    <w:uiPriority w:val="0"/>
    <w:pPr>
      <w:keepLines/>
      <w:autoSpaceDE/>
      <w:autoSpaceDN/>
      <w:ind w:left="0"/>
      <w:jc w:val="both"/>
    </w:pPr>
    <w:rPr>
      <w:rFonts w:ascii="Arial" w:hAnsi="Arial" w:cs="Times New Roman"/>
      <w:bCs w:val="0"/>
      <w:color w:val="0000FF"/>
      <w:kern w:val="44"/>
      <w:sz w:val="36"/>
      <w:szCs w:val="36"/>
      <w:lang w:eastAsia="zh-CN"/>
    </w:rPr>
  </w:style>
  <w:style w:type="paragraph" w:customStyle="1" w:styleId="189">
    <w:name w:val="Char1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90">
    <w:name w:val="ml"/>
    <w:basedOn w:val="1"/>
    <w:uiPriority w:val="0"/>
    <w:pPr>
      <w:autoSpaceDE/>
      <w:autoSpaceDN/>
      <w:jc w:val="both"/>
    </w:pPr>
    <w:rPr>
      <w:rFonts w:cs="Times New Roman"/>
      <w:b/>
      <w:bCs/>
      <w:kern w:val="2"/>
      <w:sz w:val="28"/>
      <w:szCs w:val="20"/>
      <w:lang w:eastAsia="zh-CN"/>
    </w:rPr>
  </w:style>
  <w:style w:type="paragraph" w:customStyle="1" w:styleId="191">
    <w:name w:val="标题2(3号)"/>
    <w:basedOn w:val="4"/>
    <w:next w:val="116"/>
    <w:uiPriority w:val="0"/>
    <w:pPr>
      <w:keepNext/>
      <w:keepLines/>
      <w:widowControl/>
      <w:autoSpaceDE/>
      <w:autoSpaceDN/>
      <w:spacing w:line="360" w:lineRule="auto"/>
      <w:ind w:left="420" w:hanging="420" w:hangingChars="200"/>
      <w:jc w:val="both"/>
    </w:pPr>
    <w:rPr>
      <w:rFonts w:cs="Times New Roman"/>
      <w:b w:val="0"/>
      <w:bCs w:val="0"/>
      <w:color w:val="000000"/>
      <w:sz w:val="32"/>
      <w:szCs w:val="21"/>
      <w:lang w:eastAsia="zh-CN"/>
    </w:rPr>
  </w:style>
  <w:style w:type="paragraph" w:customStyle="1" w:styleId="192">
    <w:name w:val="标题2(小4号)"/>
    <w:basedOn w:val="4"/>
    <w:next w:val="139"/>
    <w:uiPriority w:val="0"/>
    <w:pPr>
      <w:keepNext/>
      <w:keepLines/>
      <w:widowControl/>
      <w:autoSpaceDE/>
      <w:autoSpaceDN/>
      <w:spacing w:line="360" w:lineRule="auto"/>
      <w:ind w:left="420" w:hanging="420" w:hangingChars="200"/>
      <w:jc w:val="both"/>
    </w:pPr>
    <w:rPr>
      <w:rFonts w:cs="Times New Roman"/>
      <w:b w:val="0"/>
      <w:bCs w:val="0"/>
      <w:color w:val="0000FF"/>
      <w:sz w:val="21"/>
      <w:szCs w:val="21"/>
      <w:lang w:eastAsia="zh-CN"/>
    </w:rPr>
  </w:style>
  <w:style w:type="paragraph" w:customStyle="1" w:styleId="193">
    <w:name w:val="标题4"/>
    <w:basedOn w:val="6"/>
    <w:uiPriority w:val="0"/>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194">
    <w:name w:val="Char Char"/>
    <w:basedOn w:val="1"/>
    <w:uiPriority w:val="0"/>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195">
    <w:name w:val="Char Char Char Char Char Char"/>
    <w:basedOn w:val="1"/>
    <w:uiPriority w:val="0"/>
    <w:pPr>
      <w:autoSpaceDE/>
      <w:autoSpaceDN/>
      <w:jc w:val="both"/>
    </w:pPr>
    <w:rPr>
      <w:rFonts w:ascii="Times New Roman" w:hAnsi="Times New Roman" w:cs="Times New Roman"/>
      <w:kern w:val="2"/>
      <w:sz w:val="21"/>
      <w:szCs w:val="21"/>
      <w:lang w:eastAsia="zh-CN"/>
    </w:rPr>
  </w:style>
  <w:style w:type="paragraph" w:customStyle="1" w:styleId="196">
    <w:name w:val="大纲1"/>
    <w:basedOn w:val="1"/>
    <w:uiPriority w:val="0"/>
    <w:pPr>
      <w:numPr>
        <w:ilvl w:val="0"/>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197">
    <w:name w:val="大纲2"/>
    <w:basedOn w:val="1"/>
    <w:uiPriority w:val="0"/>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198">
    <w:name w:val="大纲3"/>
    <w:basedOn w:val="1"/>
    <w:link w:val="226"/>
    <w:uiPriority w:val="0"/>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199">
    <w:name w:val="大纲4"/>
    <w:basedOn w:val="198"/>
    <w:uiPriority w:val="0"/>
    <w:pPr>
      <w:numPr>
        <w:ilvl w:val="3"/>
      </w:numPr>
      <w:outlineLvl w:val="3"/>
    </w:pPr>
  </w:style>
  <w:style w:type="paragraph" w:customStyle="1" w:styleId="200">
    <w:name w:val="大纲5"/>
    <w:basedOn w:val="199"/>
    <w:uiPriority w:val="0"/>
    <w:pPr>
      <w:numPr>
        <w:ilvl w:val="4"/>
      </w:numPr>
      <w:tabs>
        <w:tab w:val="left" w:pos="360"/>
      </w:tabs>
      <w:outlineLvl w:val="4"/>
    </w:pPr>
    <w:rPr>
      <w:b w:val="0"/>
      <w:szCs w:val="36"/>
    </w:rPr>
  </w:style>
  <w:style w:type="paragraph" w:customStyle="1" w:styleId="201">
    <w:name w:val="大纲6"/>
    <w:basedOn w:val="200"/>
    <w:uiPriority w:val="0"/>
    <w:pPr>
      <w:numPr>
        <w:ilvl w:val="5"/>
      </w:numPr>
      <w:outlineLvl w:val="5"/>
    </w:pPr>
    <w:rPr>
      <w:rFonts w:ascii="宋体"/>
      <w:szCs w:val="24"/>
    </w:rPr>
  </w:style>
  <w:style w:type="paragraph" w:customStyle="1" w:styleId="202">
    <w:name w:val="Char1 Char Char Char11"/>
    <w:basedOn w:val="1"/>
    <w:uiPriority w:val="0"/>
    <w:pPr>
      <w:autoSpaceDE/>
      <w:autoSpaceDN/>
      <w:jc w:val="both"/>
    </w:pPr>
    <w:rPr>
      <w:rFonts w:ascii="Calibri" w:hAnsi="Calibri" w:cs="Times New Roman"/>
      <w:kern w:val="2"/>
      <w:sz w:val="21"/>
      <w:szCs w:val="24"/>
      <w:lang w:eastAsia="zh-CN"/>
    </w:rPr>
  </w:style>
  <w:style w:type="paragraph" w:customStyle="1" w:styleId="203">
    <w:name w:val="Char Char Char Char Char Char Char Char Char Char Char Char1"/>
    <w:basedOn w:val="1"/>
    <w:uiPriority w:val="0"/>
    <w:pPr>
      <w:autoSpaceDE/>
      <w:autoSpaceDN/>
      <w:jc w:val="both"/>
    </w:pPr>
    <w:rPr>
      <w:rFonts w:ascii="Calibri" w:hAnsi="Calibri" w:cs="Times New Roman"/>
      <w:kern w:val="2"/>
      <w:sz w:val="21"/>
      <w:szCs w:val="24"/>
      <w:lang w:eastAsia="zh-CN"/>
    </w:rPr>
  </w:style>
  <w:style w:type="paragraph" w:customStyle="1" w:styleId="204">
    <w:name w:val="字元 字元11"/>
    <w:basedOn w:val="1"/>
    <w:uiPriority w:val="0"/>
    <w:pPr>
      <w:autoSpaceDE/>
      <w:autoSpaceDN/>
      <w:adjustRightInd w:val="0"/>
      <w:snapToGrid w:val="0"/>
      <w:spacing w:line="360" w:lineRule="auto"/>
      <w:ind w:left="96" w:leftChars="40" w:firstLine="200" w:firstLineChars="200"/>
    </w:pPr>
    <w:rPr>
      <w:rFonts w:ascii="Calibri" w:cs="Times New Roman"/>
      <w:kern w:val="2"/>
      <w:sz w:val="24"/>
      <w:szCs w:val="24"/>
      <w:lang w:eastAsia="zh-CN"/>
    </w:rPr>
  </w:style>
  <w:style w:type="paragraph" w:customStyle="1" w:styleId="205">
    <w:name w:val="Char Char Char Char Char11"/>
    <w:basedOn w:val="1"/>
    <w:uiPriority w:val="0"/>
    <w:pPr>
      <w:autoSpaceDE/>
      <w:autoSpaceDN/>
      <w:jc w:val="both"/>
    </w:pPr>
    <w:rPr>
      <w:rFonts w:ascii="Calibri" w:hAnsi="Calibri" w:cs="Times New Roman"/>
      <w:kern w:val="2"/>
      <w:sz w:val="21"/>
      <w:szCs w:val="24"/>
      <w:lang w:eastAsia="zh-CN"/>
    </w:rPr>
  </w:style>
  <w:style w:type="paragraph" w:customStyle="1" w:styleId="206">
    <w:name w:val="Char Char Char Char Char Char Char Char Char Char Char2"/>
    <w:basedOn w:val="1"/>
    <w:uiPriority w:val="0"/>
    <w:pPr>
      <w:autoSpaceDE/>
      <w:autoSpaceDN/>
      <w:jc w:val="both"/>
    </w:pPr>
    <w:rPr>
      <w:rFonts w:ascii="Calibri" w:hAnsi="Calibri" w:cs="Times New Roman"/>
      <w:kern w:val="2"/>
      <w:sz w:val="21"/>
      <w:szCs w:val="24"/>
      <w:lang w:eastAsia="zh-CN"/>
    </w:rPr>
  </w:style>
  <w:style w:type="paragraph" w:customStyle="1" w:styleId="207">
    <w:name w:val="正文3"/>
    <w:uiPriority w:val="0"/>
    <w:pPr>
      <w:widowControl w:val="0"/>
      <w:autoSpaceDE w:val="0"/>
      <w:autoSpaceDN w:val="0"/>
      <w:adjustRightInd w:val="0"/>
      <w:spacing w:line="360" w:lineRule="atLeast"/>
      <w:ind w:left="425" w:hanging="425"/>
      <w:textAlignment w:val="bottom"/>
    </w:pPr>
    <w:rPr>
      <w:rFonts w:ascii="宋体" w:hAnsi="Calibri" w:eastAsia="宋体" w:cs="Times New Roman"/>
      <w:position w:val="-6"/>
      <w:sz w:val="32"/>
      <w:lang w:val="en-US" w:eastAsia="zh-CN" w:bidi="ar-SA"/>
    </w:rPr>
  </w:style>
  <w:style w:type="paragraph" w:customStyle="1" w:styleId="208">
    <w:name w:val="Char2"/>
    <w:basedOn w:val="1"/>
    <w:uiPriority w:val="0"/>
    <w:pPr>
      <w:autoSpaceDE/>
      <w:autoSpaceDN/>
      <w:adjustRightInd w:val="0"/>
      <w:spacing w:line="360" w:lineRule="auto"/>
      <w:jc w:val="both"/>
    </w:pPr>
    <w:rPr>
      <w:rFonts w:ascii="Calibri" w:hAnsi="Calibri" w:cs="Times New Roman"/>
      <w:sz w:val="24"/>
      <w:szCs w:val="20"/>
      <w:lang w:eastAsia="zh-CN"/>
    </w:rPr>
  </w:style>
  <w:style w:type="paragraph" w:customStyle="1" w:styleId="209">
    <w:name w:val="Char Char Char Char Char Char Char Char Char1"/>
    <w:basedOn w:val="1"/>
    <w:uiPriority w:val="0"/>
    <w:pPr>
      <w:autoSpaceDE/>
      <w:autoSpaceDN/>
      <w:jc w:val="both"/>
    </w:pPr>
    <w:rPr>
      <w:rFonts w:ascii="Calibri" w:hAnsi="Calibri" w:cs="Times New Roman"/>
      <w:kern w:val="2"/>
      <w:sz w:val="21"/>
      <w:szCs w:val="24"/>
      <w:lang w:eastAsia="zh-CN"/>
    </w:rPr>
  </w:style>
  <w:style w:type="paragraph" w:customStyle="1" w:styleId="210">
    <w:name w:val="Char Char Char1"/>
    <w:basedOn w:val="1"/>
    <w:uiPriority w:val="0"/>
    <w:pPr>
      <w:autoSpaceDE/>
      <w:autoSpaceDN/>
      <w:jc w:val="both"/>
    </w:pPr>
    <w:rPr>
      <w:rFonts w:ascii="Calibri" w:hAnsi="Calibri" w:cs="Times New Roman"/>
      <w:kern w:val="2"/>
      <w:sz w:val="21"/>
      <w:szCs w:val="24"/>
      <w:lang w:eastAsia="zh-CN"/>
    </w:rPr>
  </w:style>
  <w:style w:type="paragraph" w:customStyle="1" w:styleId="211">
    <w:name w:val="Char Char Char Char Char Char Char Char Char Char Char1 Char Char Char1"/>
    <w:basedOn w:val="1"/>
    <w:uiPriority w:val="0"/>
    <w:pPr>
      <w:autoSpaceDE/>
      <w:autoSpaceDN/>
      <w:jc w:val="both"/>
    </w:pPr>
    <w:rPr>
      <w:rFonts w:ascii="Calibri" w:hAnsi="Calibri" w:cs="Times New Roman"/>
      <w:kern w:val="2"/>
      <w:sz w:val="21"/>
      <w:szCs w:val="24"/>
      <w:lang w:eastAsia="zh-CN"/>
    </w:rPr>
  </w:style>
  <w:style w:type="paragraph" w:customStyle="1" w:styleId="212">
    <w:name w:val="Char12"/>
    <w:basedOn w:val="1"/>
    <w:uiPriority w:val="0"/>
    <w:pPr>
      <w:autoSpaceDE/>
      <w:autoSpaceDN/>
      <w:jc w:val="both"/>
    </w:pPr>
    <w:rPr>
      <w:rFonts w:ascii="Calibri" w:hAnsi="Calibri" w:cs="Times New Roman"/>
      <w:kern w:val="2"/>
      <w:sz w:val="21"/>
      <w:szCs w:val="24"/>
      <w:lang w:eastAsia="zh-CN"/>
    </w:rPr>
  </w:style>
  <w:style w:type="paragraph" w:customStyle="1" w:styleId="213">
    <w:name w:val="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14">
    <w:name w:val="Char Char Char Char Char Char Char Char Char Char Char11"/>
    <w:basedOn w:val="1"/>
    <w:uiPriority w:val="0"/>
    <w:pPr>
      <w:autoSpaceDE/>
      <w:autoSpaceDN/>
      <w:jc w:val="both"/>
    </w:pPr>
    <w:rPr>
      <w:rFonts w:ascii="Calibri" w:hAnsi="Calibri" w:cs="Times New Roman"/>
      <w:kern w:val="2"/>
      <w:sz w:val="21"/>
      <w:szCs w:val="24"/>
      <w:lang w:eastAsia="zh-CN"/>
    </w:rPr>
  </w:style>
  <w:style w:type="paragraph" w:customStyle="1" w:styleId="215">
    <w:name w:val="Char2 Char Char Char1"/>
    <w:basedOn w:val="1"/>
    <w:uiPriority w:val="0"/>
    <w:pPr>
      <w:autoSpaceDE/>
      <w:autoSpaceDN/>
      <w:jc w:val="both"/>
    </w:pPr>
    <w:rPr>
      <w:rFonts w:ascii="Calibri" w:hAnsi="Calibri" w:cs="Times New Roman"/>
      <w:kern w:val="2"/>
      <w:sz w:val="21"/>
      <w:szCs w:val="24"/>
      <w:lang w:eastAsia="zh-CN"/>
    </w:rPr>
  </w:style>
  <w:style w:type="paragraph" w:customStyle="1" w:styleId="216">
    <w:name w:val="正文文本 21"/>
    <w:basedOn w:val="1"/>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paragraph" w:customStyle="1" w:styleId="217">
    <w:name w:val="列出段落1"/>
    <w:basedOn w:val="1"/>
    <w:qFormat/>
    <w:uiPriority w:val="34"/>
    <w:pPr>
      <w:autoSpaceDE/>
      <w:autoSpaceDN/>
      <w:ind w:firstLine="420" w:firstLineChars="200"/>
      <w:jc w:val="both"/>
    </w:pPr>
    <w:rPr>
      <w:rFonts w:ascii="Calibri" w:hAnsi="Calibri" w:cs="Times New Roman"/>
      <w:kern w:val="2"/>
      <w:sz w:val="21"/>
      <w:lang w:eastAsia="zh-CN"/>
    </w:rPr>
  </w:style>
  <w:style w:type="character" w:customStyle="1" w:styleId="218">
    <w:name w:val="hover11"/>
    <w:basedOn w:val="62"/>
    <w:uiPriority w:val="0"/>
  </w:style>
  <w:style w:type="character" w:customStyle="1" w:styleId="219">
    <w:name w:val="xdrichtextbox3"/>
    <w:basedOn w:val="62"/>
    <w:uiPriority w:val="0"/>
    <w:rPr>
      <w:color w:val="auto"/>
      <w:u w:val="none"/>
      <w:bdr w:val="single" w:color="DCDCDC" w:sz="8" w:space="0"/>
      <w:shd w:val="clear" w:color="auto" w:fill="FFFFFF"/>
    </w:rPr>
  </w:style>
  <w:style w:type="character" w:customStyle="1" w:styleId="220">
    <w:name w:val="列出段落 Char"/>
    <w:link w:val="86"/>
    <w:uiPriority w:val="34"/>
    <w:rPr>
      <w:rFonts w:ascii="宋体" w:hAnsi="宋体" w:cs="宋体"/>
      <w:sz w:val="22"/>
      <w:szCs w:val="22"/>
      <w:lang w:eastAsia="en-US"/>
    </w:rPr>
  </w:style>
  <w:style w:type="paragraph" w:customStyle="1" w:styleId="221">
    <w:name w:val="Revision"/>
    <w:hidden/>
    <w:unhideWhenUsed/>
    <w:uiPriority w:val="99"/>
    <w:rPr>
      <w:rFonts w:ascii="宋体" w:hAnsi="宋体" w:eastAsia="宋体" w:cs="宋体"/>
      <w:sz w:val="22"/>
      <w:szCs w:val="22"/>
      <w:lang w:val="en-US" w:eastAsia="en-US" w:bidi="ar-SA"/>
    </w:rPr>
  </w:style>
  <w:style w:type="character" w:customStyle="1" w:styleId="222">
    <w:name w:val="cd_message"/>
    <w:basedOn w:val="62"/>
    <w:uiPriority w:val="0"/>
  </w:style>
  <w:style w:type="character" w:customStyle="1" w:styleId="223">
    <w:name w:val="正文首行缩进 2 Char"/>
    <w:basedOn w:val="105"/>
    <w:link w:val="59"/>
    <w:semiHidden/>
    <w:uiPriority w:val="0"/>
    <w:rPr>
      <w:rFonts w:ascii="宋体" w:hAnsi="宋体" w:cs="宋体"/>
      <w:i w:val="0"/>
      <w:iCs w:val="0"/>
      <w:kern w:val="2"/>
      <w:sz w:val="22"/>
      <w:szCs w:val="22"/>
      <w:lang w:eastAsia="en-US"/>
    </w:rPr>
  </w:style>
  <w:style w:type="paragraph" w:customStyle="1" w:styleId="224">
    <w:name w:val="WPS Plain"/>
    <w:uiPriority w:val="99"/>
    <w:rPr>
      <w:rFonts w:ascii="Times New Roman" w:hAnsi="Times New Roman" w:eastAsia="宋体" w:cs="Times New Roman"/>
      <w:lang w:val="en-US" w:eastAsia="zh-CN" w:bidi="ar-SA"/>
    </w:rPr>
  </w:style>
  <w:style w:type="character" w:customStyle="1" w:styleId="225">
    <w:name w:val="font21"/>
    <w:basedOn w:val="62"/>
    <w:qFormat/>
    <w:uiPriority w:val="0"/>
    <w:rPr>
      <w:rFonts w:hint="eastAsia" w:ascii="宋体" w:hAnsi="宋体" w:eastAsia="宋体" w:cs="宋体"/>
      <w:color w:val="000000"/>
      <w:sz w:val="24"/>
      <w:szCs w:val="24"/>
      <w:u w:val="none"/>
    </w:rPr>
  </w:style>
  <w:style w:type="character" w:customStyle="1" w:styleId="226">
    <w:name w:val="大纲3 Char"/>
    <w:basedOn w:val="62"/>
    <w:link w:val="198"/>
    <w:uiPriority w:val="0"/>
    <w:rPr>
      <w:b/>
      <w:kern w:val="2"/>
      <w:sz w:val="24"/>
      <w:szCs w:val="24"/>
    </w:rPr>
  </w:style>
  <w:style w:type="character" w:customStyle="1" w:styleId="227">
    <w:name w:val="二 Char"/>
    <w:basedOn w:val="228"/>
    <w:link w:val="230"/>
    <w:uiPriority w:val="0"/>
    <w:rPr>
      <w:rFonts w:ascii="宋体" w:hAnsi="宋体"/>
      <w:sz w:val="21"/>
      <w:szCs w:val="21"/>
    </w:rPr>
  </w:style>
  <w:style w:type="character" w:customStyle="1" w:styleId="228">
    <w:name w:val="一 Char"/>
    <w:basedOn w:val="62"/>
    <w:link w:val="229"/>
    <w:uiPriority w:val="0"/>
    <w:rPr>
      <w:rFonts w:ascii="宋体" w:hAnsi="宋体"/>
      <w:b/>
      <w:bCs/>
      <w:sz w:val="30"/>
      <w:szCs w:val="21"/>
    </w:rPr>
  </w:style>
  <w:style w:type="paragraph" w:customStyle="1" w:styleId="229">
    <w:name w:val="一"/>
    <w:basedOn w:val="1"/>
    <w:link w:val="228"/>
    <w:uiPriority w:val="0"/>
    <w:pPr>
      <w:tabs>
        <w:tab w:val="left" w:pos="0"/>
      </w:tabs>
      <w:autoSpaceDE/>
      <w:autoSpaceDN/>
      <w:adjustRightInd w:val="0"/>
      <w:spacing w:line="300" w:lineRule="auto"/>
      <w:ind w:left="118" w:hanging="420"/>
      <w:jc w:val="both"/>
      <w:textAlignment w:val="baseline"/>
      <w:outlineLvl w:val="1"/>
    </w:pPr>
    <w:rPr>
      <w:rFonts w:cs="Times New Roman"/>
      <w:b/>
      <w:bCs/>
      <w:sz w:val="30"/>
      <w:szCs w:val="21"/>
      <w:lang w:eastAsia="zh-CN"/>
    </w:rPr>
  </w:style>
  <w:style w:type="paragraph" w:customStyle="1" w:styleId="230">
    <w:name w:val="二"/>
    <w:basedOn w:val="229"/>
    <w:link w:val="227"/>
    <w:uiPriority w:val="0"/>
    <w:pPr>
      <w:tabs>
        <w:tab w:val="left" w:pos="840"/>
        <w:tab w:val="clear" w:pos="0"/>
      </w:tabs>
      <w:ind w:left="840" w:hanging="420"/>
      <w:outlineLvl w:val="2"/>
    </w:pPr>
    <w:rPr>
      <w:sz w:val="21"/>
    </w:rPr>
  </w:style>
  <w:style w:type="character" w:customStyle="1" w:styleId="231">
    <w:name w:val="普通 Char"/>
    <w:basedOn w:val="62"/>
    <w:link w:val="232"/>
    <w:uiPriority w:val="0"/>
    <w:rPr>
      <w:rFonts w:ascii="宋体" w:hAnsi="宋体"/>
      <w:kern w:val="2"/>
      <w:sz w:val="24"/>
      <w:szCs w:val="21"/>
    </w:rPr>
  </w:style>
  <w:style w:type="paragraph" w:customStyle="1" w:styleId="232">
    <w:name w:val="普通"/>
    <w:basedOn w:val="1"/>
    <w:link w:val="231"/>
    <w:uiPriority w:val="0"/>
    <w:pPr>
      <w:widowControl/>
      <w:autoSpaceDE/>
      <w:autoSpaceDN/>
      <w:spacing w:beforeLines="25" w:afterLines="25"/>
      <w:ind w:firstLine="200" w:firstLineChars="200"/>
      <w:jc w:val="both"/>
    </w:pPr>
    <w:rPr>
      <w:rFonts w:cs="Times New Roman"/>
      <w:kern w:val="2"/>
      <w:sz w:val="24"/>
      <w:szCs w:val="21"/>
      <w:lang w:eastAsia="zh-CN"/>
    </w:rPr>
  </w:style>
  <w:style w:type="character" w:customStyle="1" w:styleId="233">
    <w:name w:val="tpc_content"/>
    <w:basedOn w:val="62"/>
    <w:uiPriority w:val="0"/>
  </w:style>
  <w:style w:type="character" w:customStyle="1" w:styleId="234">
    <w:name w:val="新规程正文（不带编号） Char"/>
    <w:basedOn w:val="62"/>
    <w:link w:val="235"/>
    <w:uiPriority w:val="0"/>
    <w:rPr>
      <w:rFonts w:ascii="宋体" w:hAnsi="宋体"/>
      <w:color w:val="000000"/>
      <w:kern w:val="2"/>
      <w:sz w:val="24"/>
      <w:szCs w:val="24"/>
    </w:rPr>
  </w:style>
  <w:style w:type="paragraph" w:customStyle="1" w:styleId="235">
    <w:name w:val="新规程正文（不带编号）"/>
    <w:basedOn w:val="1"/>
    <w:link w:val="234"/>
    <w:uiPriority w:val="0"/>
    <w:pPr>
      <w:autoSpaceDE/>
      <w:autoSpaceDN/>
      <w:spacing w:line="300" w:lineRule="auto"/>
      <w:ind w:firstLine="480" w:firstLineChars="200"/>
      <w:jc w:val="both"/>
    </w:pPr>
    <w:rPr>
      <w:rFonts w:cs="Times New Roman"/>
      <w:color w:val="000000"/>
      <w:kern w:val="2"/>
      <w:sz w:val="24"/>
      <w:szCs w:val="24"/>
      <w:lang w:eastAsia="zh-CN"/>
    </w:rPr>
  </w:style>
  <w:style w:type="character" w:customStyle="1" w:styleId="236">
    <w:name w:val="标题2 Char Char"/>
    <w:basedOn w:val="62"/>
    <w:link w:val="149"/>
    <w:uiPriority w:val="0"/>
    <w:rPr>
      <w:rFonts w:ascii="宋体" w:hAnsi="宋体"/>
      <w:b/>
      <w:color w:val="000000"/>
      <w:sz w:val="24"/>
      <w:szCs w:val="24"/>
    </w:rPr>
  </w:style>
  <w:style w:type="character" w:customStyle="1" w:styleId="237">
    <w:name w:val="样式2 Char1"/>
    <w:basedOn w:val="62"/>
    <w:link w:val="161"/>
    <w:locked/>
    <w:uiPriority w:val="0"/>
    <w:rPr>
      <w:sz w:val="24"/>
    </w:rPr>
  </w:style>
  <w:style w:type="paragraph" w:customStyle="1" w:styleId="238">
    <w:name w:val="Char Char Char Char Char Char Char"/>
    <w:basedOn w:val="1"/>
    <w:uiPriority w:val="0"/>
    <w:pPr>
      <w:autoSpaceDE/>
      <w:autoSpaceDN/>
      <w:jc w:val="both"/>
    </w:pPr>
    <w:rPr>
      <w:rFonts w:hAnsi="Times New Roman" w:cs="Times New Roman"/>
      <w:spacing w:val="-12"/>
      <w:kern w:val="21"/>
      <w:sz w:val="24"/>
      <w:szCs w:val="20"/>
      <w:lang w:eastAsia="zh-CN"/>
    </w:rPr>
  </w:style>
  <w:style w:type="paragraph" w:customStyle="1" w:styleId="239">
    <w:name w:val="样式 普通 + 首行缩进:  2 字符"/>
    <w:basedOn w:val="1"/>
    <w:uiPriority w:val="0"/>
    <w:pPr>
      <w:widowControl/>
      <w:autoSpaceDE/>
      <w:autoSpaceDN/>
      <w:spacing w:beforeLines="25" w:afterLines="25"/>
      <w:ind w:firstLine="200" w:firstLineChars="200"/>
      <w:jc w:val="both"/>
    </w:pPr>
    <w:rPr>
      <w:kern w:val="2"/>
      <w:sz w:val="24"/>
      <w:szCs w:val="20"/>
      <w:lang w:eastAsia="zh-CN"/>
    </w:rPr>
  </w:style>
  <w:style w:type="paragraph" w:customStyle="1" w:styleId="240">
    <w:name w:val="三"/>
    <w:basedOn w:val="230"/>
    <w:uiPriority w:val="0"/>
    <w:pPr>
      <w:tabs>
        <w:tab w:val="left" w:pos="1260"/>
        <w:tab w:val="clear" w:pos="840"/>
      </w:tabs>
      <w:ind w:left="1260" w:hanging="420"/>
      <w:outlineLvl w:val="3"/>
    </w:pPr>
    <w:rPr>
      <w:b w:val="0"/>
      <w:bCs w:val="0"/>
    </w:rPr>
  </w:style>
  <w:style w:type="paragraph" w:customStyle="1" w:styleId="241">
    <w:name w:val="段"/>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customStyle="1" w:styleId="242">
    <w:name w:val="封面标准文稿编辑信息"/>
    <w:uiPriority w:val="0"/>
    <w:pPr>
      <w:spacing w:before="180" w:line="180" w:lineRule="exact"/>
      <w:jc w:val="center"/>
    </w:pPr>
    <w:rPr>
      <w:rFonts w:ascii="宋体" w:hAnsi="Times New Roman" w:eastAsia="宋体" w:cs="Times New Roman"/>
      <w:sz w:val="21"/>
      <w:szCs w:val="22"/>
      <w:lang w:val="en-US" w:eastAsia="zh-CN" w:bidi="ar-SA"/>
    </w:rPr>
  </w:style>
  <w:style w:type="paragraph" w:customStyle="1" w:styleId="243">
    <w:name w:val="Char3"/>
    <w:basedOn w:val="1"/>
    <w:uiPriority w:val="0"/>
    <w:pPr>
      <w:autoSpaceDE/>
      <w:autoSpaceDN/>
      <w:jc w:val="both"/>
    </w:pPr>
    <w:rPr>
      <w:rFonts w:ascii="Times New Roman" w:hAnsi="Times New Roman" w:cs="Times New Roman"/>
      <w:kern w:val="2"/>
      <w:sz w:val="21"/>
      <w:szCs w:val="24"/>
      <w:lang w:eastAsia="zh-CN"/>
    </w:rPr>
  </w:style>
  <w:style w:type="paragraph" w:customStyle="1" w:styleId="244">
    <w:name w:val="默认段落字体 Para Char Char Char Char Char Char Char Char Char1 Char"/>
    <w:basedOn w:val="1"/>
    <w:uiPriority w:val="0"/>
    <w:pPr>
      <w:autoSpaceDE/>
      <w:autoSpaceDN/>
      <w:jc w:val="both"/>
    </w:pPr>
    <w:rPr>
      <w:rFonts w:ascii="Times New Roman" w:hAnsi="Times New Roman" w:cs="Times New Roman"/>
      <w:kern w:val="2"/>
      <w:sz w:val="21"/>
      <w:szCs w:val="24"/>
      <w:lang w:eastAsia="zh-CN"/>
    </w:rPr>
  </w:style>
  <w:style w:type="paragraph" w:customStyle="1" w:styleId="245">
    <w:name w:val="正文报告"/>
    <w:basedOn w:val="1"/>
    <w:uiPriority w:val="0"/>
    <w:pPr>
      <w:tabs>
        <w:tab w:val="left" w:pos="510"/>
      </w:tabs>
      <w:autoSpaceDE/>
      <w:autoSpaceDN/>
      <w:adjustRightInd w:val="0"/>
      <w:spacing w:line="460" w:lineRule="exact"/>
      <w:ind w:firstLine="482"/>
      <w:jc w:val="both"/>
      <w:textAlignment w:val="baseline"/>
    </w:pPr>
    <w:rPr>
      <w:rFonts w:ascii="Times New Roman" w:hAnsi="Times New Roman" w:cs="Times New Roman"/>
      <w:sz w:val="24"/>
      <w:szCs w:val="20"/>
      <w:lang w:eastAsia="zh-CN"/>
    </w:rPr>
  </w:style>
  <w:style w:type="character" w:customStyle="1" w:styleId="246">
    <w:name w:val="正文1 Char"/>
    <w:basedOn w:val="62"/>
    <w:link w:val="2"/>
    <w:uiPriority w:val="0"/>
    <w:rPr>
      <w:rFonts w:ascii="宋体" w:hAnsi="Calibri"/>
      <w:sz w:val="34"/>
      <w:szCs w:val="22"/>
    </w:rPr>
  </w:style>
  <w:style w:type="paragraph" w:customStyle="1" w:styleId="247">
    <w:name w:val="_Style 232"/>
    <w:uiPriority w:val="0"/>
    <w:pPr>
      <w:widowControl w:val="0"/>
      <w:autoSpaceDE w:val="0"/>
      <w:autoSpaceDN w:val="0"/>
    </w:pPr>
    <w:rPr>
      <w:rFonts w:ascii="宋体" w:hAnsi="宋体" w:eastAsia="宋体" w:cs="宋体"/>
      <w:sz w:val="22"/>
      <w:szCs w:val="22"/>
      <w:lang w:val="en-US" w:eastAsia="en-US" w:bidi="ar-SA"/>
    </w:rPr>
  </w:style>
  <w:style w:type="character" w:customStyle="1" w:styleId="248">
    <w:name w:val="样式3 Char"/>
    <w:link w:val="182"/>
    <w:uiPriority w:val="0"/>
    <w:rPr>
      <w:spacing w:val="10"/>
      <w:kern w:val="2"/>
      <w:sz w:val="24"/>
      <w:szCs w:val="21"/>
    </w:rPr>
  </w:style>
  <w:style w:type="character" w:customStyle="1" w:styleId="249">
    <w:name w:val="称呼 Char"/>
    <w:link w:val="22"/>
    <w:uiPriority w:val="0"/>
    <w:rPr>
      <w:sz w:val="21"/>
    </w:rPr>
  </w:style>
  <w:style w:type="character" w:customStyle="1" w:styleId="250">
    <w:name w:val="样式2 Char"/>
    <w:uiPriority w:val="0"/>
    <w:rPr>
      <w:sz w:val="24"/>
    </w:rPr>
  </w:style>
  <w:style w:type="character" w:customStyle="1" w:styleId="251">
    <w:name w:val="称呼 Char1"/>
    <w:basedOn w:val="62"/>
    <w:uiPriority w:val="0"/>
    <w:rPr>
      <w:rFonts w:ascii="宋体" w:hAnsi="宋体" w:cs="宋体"/>
      <w:sz w:val="22"/>
      <w:szCs w:val="22"/>
      <w:lang w:eastAsia="en-US"/>
    </w:rPr>
  </w:style>
  <w:style w:type="character" w:customStyle="1" w:styleId="252">
    <w:name w:val="尾注文本 Char"/>
    <w:basedOn w:val="62"/>
    <w:link w:val="37"/>
    <w:semiHidden/>
    <w:uiPriority w:val="0"/>
    <w:rPr>
      <w:rFonts w:ascii="Calibri" w:hAnsi="Calibri" w:cs="宋体"/>
      <w:sz w:val="24"/>
    </w:rPr>
  </w:style>
  <w:style w:type="paragraph" w:customStyle="1" w:styleId="253">
    <w:name w:val="不缩进"/>
    <w:basedOn w:val="1"/>
    <w:uiPriority w:val="0"/>
    <w:pPr>
      <w:autoSpaceDE/>
      <w:autoSpaceDN/>
      <w:adjustRightInd w:val="0"/>
      <w:snapToGrid w:val="0"/>
      <w:spacing w:line="360" w:lineRule="auto"/>
      <w:jc w:val="both"/>
    </w:pPr>
    <w:rPr>
      <w:sz w:val="24"/>
      <w:szCs w:val="20"/>
      <w:lang w:eastAsia="zh-CN"/>
    </w:rPr>
  </w:style>
  <w:style w:type="paragraph" w:customStyle="1" w:styleId="254">
    <w:name w:val="正文4"/>
    <w:uiPriority w:val="0"/>
    <w:pPr>
      <w:widowControl w:val="0"/>
      <w:adjustRightInd w:val="0"/>
      <w:spacing w:line="360" w:lineRule="atLeast"/>
      <w:textAlignment w:val="baseline"/>
    </w:pPr>
    <w:rPr>
      <w:rFonts w:ascii="宋体" w:hAnsi="Calibri" w:eastAsia="宋体" w:cs="宋体"/>
      <w:sz w:val="24"/>
      <w:lang w:val="en-US" w:eastAsia="zh-CN" w:bidi="ar-SA"/>
    </w:rPr>
  </w:style>
  <w:style w:type="paragraph" w:customStyle="1" w:styleId="255">
    <w:name w:val="日期1"/>
    <w:basedOn w:val="1"/>
    <w:next w:val="1"/>
    <w:uiPriority w:val="0"/>
    <w:pPr>
      <w:autoSpaceDE/>
      <w:autoSpaceDN/>
      <w:adjustRightInd w:val="0"/>
      <w:spacing w:line="360" w:lineRule="atLeast"/>
      <w:jc w:val="both"/>
      <w:textAlignment w:val="baseline"/>
    </w:pPr>
    <w:rPr>
      <w:rFonts w:hAnsi="Calibri" w:eastAsia="Wingdings"/>
      <w:sz w:val="24"/>
      <w:szCs w:val="20"/>
      <w:lang w:eastAsia="zh-CN"/>
    </w:rPr>
  </w:style>
  <w:style w:type="paragraph" w:customStyle="1" w:styleId="256">
    <w:name w:val="Char4"/>
    <w:basedOn w:val="1"/>
    <w:uiPriority w:val="0"/>
    <w:pPr>
      <w:autoSpaceDE/>
      <w:autoSpaceDN/>
      <w:jc w:val="both"/>
    </w:pPr>
    <w:rPr>
      <w:rFonts w:ascii="Calibri" w:hAnsi="Calibri"/>
      <w:kern w:val="2"/>
      <w:sz w:val="21"/>
      <w:szCs w:val="24"/>
      <w:lang w:eastAsia="zh-CN"/>
    </w:rPr>
  </w:style>
  <w:style w:type="paragraph" w:customStyle="1" w:styleId="257">
    <w:name w:val="表题"/>
    <w:basedOn w:val="10"/>
    <w:uiPriority w:val="0"/>
    <w:pPr>
      <w:adjustRightInd/>
      <w:spacing w:line="100" w:lineRule="atLeast"/>
      <w:ind w:firstLine="0"/>
      <w:jc w:val="center"/>
      <w:textAlignment w:val="auto"/>
    </w:pPr>
    <w:rPr>
      <w:rFonts w:ascii="Calibri" w:hAnsi="Calibri" w:cs="宋体"/>
      <w:kern w:val="2"/>
    </w:rPr>
  </w:style>
  <w:style w:type="paragraph" w:customStyle="1" w:styleId="258">
    <w:name w:val="Char Char Char Char Char Char Char Char Char Char Char Char Char Char Char Char Char Char Char Char Char"/>
    <w:basedOn w:val="1"/>
    <w:uiPriority w:val="0"/>
    <w:pPr>
      <w:autoSpaceDE/>
      <w:autoSpaceDN/>
      <w:spacing w:line="360" w:lineRule="auto"/>
      <w:ind w:firstLine="200" w:firstLineChars="200"/>
      <w:jc w:val="both"/>
    </w:pPr>
    <w:rPr>
      <w:kern w:val="2"/>
      <w:sz w:val="24"/>
      <w:szCs w:val="24"/>
      <w:lang w:eastAsia="zh-CN"/>
    </w:rPr>
  </w:style>
  <w:style w:type="paragraph" w:customStyle="1" w:styleId="259">
    <w:name w:val="Normal New New New New New New New"/>
    <w:uiPriority w:val="0"/>
    <w:pPr>
      <w:widowControl w:val="0"/>
      <w:jc w:val="both"/>
    </w:pPr>
    <w:rPr>
      <w:rFonts w:hint="eastAsia" w:ascii="Calibri" w:hAnsi="Calibri" w:eastAsia="宋体" w:cs="宋体"/>
      <w:kern w:val="2"/>
      <w:sz w:val="21"/>
      <w:lang w:val="en-US" w:eastAsia="zh-CN" w:bidi="ar-SA"/>
    </w:rPr>
  </w:style>
  <w:style w:type="paragraph" w:customStyle="1" w:styleId="260">
    <w:name w:val="Char1 Char Char Char1"/>
    <w:basedOn w:val="1"/>
    <w:uiPriority w:val="0"/>
    <w:pPr>
      <w:autoSpaceDE/>
      <w:autoSpaceDN/>
      <w:jc w:val="both"/>
    </w:pPr>
    <w:rPr>
      <w:rFonts w:ascii="Calibri" w:hAnsi="Calibri"/>
      <w:kern w:val="2"/>
      <w:sz w:val="21"/>
      <w:szCs w:val="24"/>
      <w:lang w:eastAsia="zh-CN"/>
    </w:rPr>
  </w:style>
  <w:style w:type="paragraph" w:customStyle="1" w:styleId="261">
    <w:name w:val="_Style 11"/>
    <w:basedOn w:val="1"/>
    <w:uiPriority w:val="0"/>
    <w:pPr>
      <w:autoSpaceDE/>
      <w:autoSpaceDN/>
      <w:jc w:val="both"/>
    </w:pPr>
    <w:rPr>
      <w:rFonts w:ascii="黑体" w:hAnsi="Calibri" w:eastAsia="Arial"/>
      <w:kern w:val="2"/>
      <w:sz w:val="21"/>
      <w:szCs w:val="24"/>
      <w:lang w:eastAsia="zh-CN"/>
    </w:rPr>
  </w:style>
  <w:style w:type="paragraph" w:customStyle="1" w:styleId="262">
    <w:name w:val="样式 正文首行缩进 + 左侧:  0 厘米 悬挂缩进: 4.8 字符"/>
    <w:basedOn w:val="58"/>
    <w:uiPriority w:val="0"/>
    <w:pPr>
      <w:numPr>
        <w:ilvl w:val="0"/>
        <w:numId w:val="0"/>
      </w:numPr>
      <w:tabs>
        <w:tab w:val="left" w:pos="1701"/>
        <w:tab w:val="left" w:pos="3675"/>
        <w:tab w:val="left" w:pos="4515"/>
        <w:tab w:val="right" w:pos="8505"/>
        <w:tab w:val="clear" w:pos="720"/>
      </w:tabs>
      <w:spacing w:after="0" w:line="360" w:lineRule="auto"/>
      <w:ind w:firstLine="482"/>
    </w:pPr>
    <w:rPr>
      <w:rFonts w:ascii="宋体" w:hAnsi="Calibri" w:cs="宋体"/>
      <w:sz w:val="24"/>
      <w:szCs w:val="20"/>
      <w:lang w:val="fr-FR"/>
    </w:rPr>
  </w:style>
  <w:style w:type="paragraph" w:customStyle="1" w:styleId="263">
    <w:name w:val="4 Char"/>
    <w:basedOn w:val="1"/>
    <w:uiPriority w:val="0"/>
    <w:pPr>
      <w:autoSpaceDE/>
      <w:autoSpaceDN/>
      <w:jc w:val="both"/>
    </w:pPr>
    <w:rPr>
      <w:rFonts w:ascii="Calibri" w:hAnsi="Calibri"/>
      <w:kern w:val="2"/>
      <w:sz w:val="21"/>
      <w:szCs w:val="24"/>
      <w:lang w:eastAsia="zh-CN"/>
    </w:rPr>
  </w:style>
  <w:style w:type="paragraph" w:customStyle="1" w:styleId="264">
    <w:name w:val="Char Char Char Char2"/>
    <w:basedOn w:val="1"/>
    <w:uiPriority w:val="0"/>
    <w:pPr>
      <w:autoSpaceDE/>
      <w:autoSpaceDN/>
      <w:jc w:val="both"/>
    </w:pPr>
    <w:rPr>
      <w:rFonts w:ascii="Calibri" w:hAnsi="Calibri"/>
      <w:sz w:val="24"/>
      <w:szCs w:val="20"/>
      <w:lang w:eastAsia="zh-CN"/>
    </w:rPr>
  </w:style>
  <w:style w:type="paragraph" w:customStyle="1" w:styleId="265">
    <w:name w:val="(1)"/>
    <w:basedOn w:val="1"/>
    <w:uiPriority w:val="0"/>
    <w:pPr>
      <w:tabs>
        <w:tab w:val="left" w:pos="1020"/>
      </w:tabs>
      <w:autoSpaceDE/>
      <w:autoSpaceDN/>
      <w:adjustRightInd w:val="0"/>
      <w:spacing w:line="400" w:lineRule="exact"/>
      <w:ind w:left="1020" w:hanging="420"/>
      <w:jc w:val="both"/>
      <w:textAlignment w:val="baseline"/>
    </w:pPr>
    <w:rPr>
      <w:rFonts w:ascii="楷体_GB2312" w:hAnsi="Arial" w:eastAsia="楷体_GB2312"/>
      <w:kern w:val="44"/>
      <w:sz w:val="24"/>
      <w:szCs w:val="24"/>
      <w:lang w:eastAsia="zh-CN"/>
    </w:rPr>
  </w:style>
  <w:style w:type="paragraph" w:customStyle="1" w:styleId="266">
    <w:name w:val="Char Char Char Char Char Char Char Char Char2"/>
    <w:basedOn w:val="1"/>
    <w:uiPriority w:val="0"/>
    <w:pPr>
      <w:autoSpaceDE/>
      <w:autoSpaceDN/>
      <w:spacing w:line="360" w:lineRule="auto"/>
      <w:ind w:firstLine="200" w:firstLineChars="200"/>
      <w:jc w:val="both"/>
    </w:pPr>
    <w:rPr>
      <w:kern w:val="2"/>
      <w:sz w:val="24"/>
      <w:szCs w:val="24"/>
      <w:lang w:eastAsia="zh-CN"/>
    </w:rPr>
  </w:style>
  <w:style w:type="paragraph" w:customStyle="1" w:styleId="267">
    <w:name w:val="_Style 72"/>
    <w:basedOn w:val="1"/>
    <w:next w:val="1"/>
    <w:uiPriority w:val="39"/>
    <w:pPr>
      <w:autoSpaceDE/>
      <w:autoSpaceDN/>
      <w:adjustRightInd w:val="0"/>
      <w:snapToGrid w:val="0"/>
      <w:spacing w:line="360" w:lineRule="auto"/>
      <w:textAlignment w:val="baseline"/>
    </w:pPr>
    <w:rPr>
      <w:rFonts w:ascii="Calibri" w:hAnsi="Calibri"/>
      <w:bCs/>
      <w:caps/>
      <w:sz w:val="24"/>
      <w:szCs w:val="24"/>
      <w:lang w:eastAsia="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6060E5B-51A0-4A88-8733-B6B7CDCB7D97}">
  <ds:schemaRefs/>
</ds:datastoreItem>
</file>

<file path=docProps/app.xml><?xml version="1.0" encoding="utf-8"?>
<Properties xmlns="http://schemas.openxmlformats.org/officeDocument/2006/extended-properties" xmlns:vt="http://schemas.openxmlformats.org/officeDocument/2006/docPropsVTypes">
  <Template>Normal.dotm</Template>
  <Company>福化环保</Company>
  <Pages>56</Pages>
  <Words>27343</Words>
  <Characters>29174</Characters>
  <Lines>238</Lines>
  <Paragraphs>67</Paragraphs>
  <TotalTime>7017</TotalTime>
  <ScaleCrop>false</ScaleCrop>
  <LinksUpToDate>false</LinksUpToDate>
  <CharactersWithSpaces>30493</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2019-03-28T11:18:00Z</dcterms:created>
  <dc:creator>CGC</dc:creator>
  <cp:lastModifiedBy>Jason</cp:lastModifiedBy>
  <dcterms:modified xsi:type="dcterms:W3CDTF">2022-07-08T08:03:22Z</dcterms:modified>
  <dc:title>公开招标文件（货物服务类）</dc:title>
  <cp:revision>567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2052-11.1.0.11875</vt:lpwstr>
  </property>
  <property fmtid="{D5CDD505-2E9C-101B-9397-08002B2CF9AE}" pid="6" name="ICV">
    <vt:lpwstr>E3616AFF389A440EAEC27BB557935721</vt:lpwstr>
  </property>
</Properties>
</file>