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21" w:rsidRDefault="00506921" w:rsidP="00506921">
      <w:pPr>
        <w:adjustRightInd w:val="0"/>
        <w:rPr>
          <w:b/>
          <w:bCs/>
          <w:sz w:val="36"/>
          <w:lang w:eastAsia="zh-CN"/>
        </w:rPr>
      </w:pPr>
      <w:r>
        <w:rPr>
          <w:rFonts w:hint="eastAsia"/>
          <w:b/>
          <w:bCs/>
          <w:sz w:val="36"/>
          <w:lang w:eastAsia="zh-CN"/>
        </w:rPr>
        <w:t>福建福海创石油化工有限公司原料适应性技改项目凝析油分离装置及减压蒸馏消</w:t>
      </w:r>
      <w:proofErr w:type="gramStart"/>
      <w:r>
        <w:rPr>
          <w:rFonts w:hint="eastAsia"/>
          <w:b/>
          <w:bCs/>
          <w:sz w:val="36"/>
          <w:lang w:eastAsia="zh-CN"/>
        </w:rPr>
        <w:t>缺改造</w:t>
      </w:r>
      <w:proofErr w:type="gramEnd"/>
      <w:r>
        <w:rPr>
          <w:rFonts w:hint="eastAsia"/>
          <w:b/>
          <w:bCs/>
          <w:sz w:val="36"/>
          <w:lang w:eastAsia="zh-CN"/>
        </w:rPr>
        <w:t>与2#</w:t>
      </w:r>
      <w:r>
        <w:rPr>
          <w:b/>
          <w:bCs/>
          <w:sz w:val="36"/>
          <w:lang w:eastAsia="zh-CN"/>
        </w:rPr>
        <w:t>90万吨/年新建抽提</w:t>
      </w:r>
      <w:r>
        <w:rPr>
          <w:rFonts w:hint="eastAsia"/>
          <w:b/>
          <w:bCs/>
          <w:sz w:val="36"/>
          <w:lang w:eastAsia="zh-CN"/>
        </w:rPr>
        <w:t>项目计量泵采购公开比选公告</w:t>
      </w:r>
    </w:p>
    <w:p w:rsidR="00506921" w:rsidRDefault="00506921" w:rsidP="00506921">
      <w:pPr>
        <w:spacing w:line="360" w:lineRule="auto"/>
        <w:ind w:right="315"/>
        <w:jc w:val="right"/>
        <w:rPr>
          <w:bCs/>
          <w:szCs w:val="21"/>
          <w:lang w:eastAsia="zh-CN"/>
        </w:rPr>
      </w:pPr>
      <w:r>
        <w:rPr>
          <w:rFonts w:hint="eastAsia"/>
          <w:bCs/>
          <w:szCs w:val="21"/>
          <w:lang w:eastAsia="zh-CN"/>
        </w:rPr>
        <w:t>比选编号：</w:t>
      </w:r>
      <w:r>
        <w:rPr>
          <w:bCs/>
          <w:szCs w:val="21"/>
          <w:lang w:eastAsia="zh-CN"/>
        </w:rPr>
        <w:t>FHC-GKJCG-20220531001</w:t>
      </w:r>
    </w:p>
    <w:p w:rsidR="00506921" w:rsidRDefault="00506921" w:rsidP="00506921">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“原料适应性技改项目凝析油分离装置及减压蒸馏消缺改造与2#</w:t>
      </w:r>
      <w:r>
        <w:rPr>
          <w:rFonts w:asciiTheme="minorEastAsia" w:eastAsiaTheme="minorEastAsia" w:hAnsiTheme="minorEastAsia"/>
          <w:bCs/>
          <w:sz w:val="24"/>
          <w:szCs w:val="24"/>
          <w:lang w:eastAsia="zh-CN"/>
        </w:rPr>
        <w:t>90万吨/年新建抽提</w:t>
      </w:r>
      <w:r>
        <w:rPr>
          <w:rFonts w:asciiTheme="minorEastAsia" w:eastAsiaTheme="minorEastAsia" w:hAnsiTheme="minorEastAsia" w:hint="eastAsia"/>
          <w:bCs/>
          <w:sz w:val="24"/>
          <w:szCs w:val="24"/>
          <w:lang w:eastAsia="zh-CN"/>
        </w:rPr>
        <w:t>项目计量泵采购（项目编号：</w:t>
      </w:r>
      <w:r>
        <w:rPr>
          <w:rFonts w:asciiTheme="minorEastAsia" w:eastAsiaTheme="minorEastAsia" w:hAnsiTheme="minorEastAsia"/>
          <w:bCs/>
          <w:sz w:val="24"/>
          <w:szCs w:val="24"/>
          <w:lang w:eastAsia="zh-CN"/>
        </w:rPr>
        <w:t>FHC-GKJCG-20220531001</w:t>
      </w:r>
      <w:r>
        <w:rPr>
          <w:rFonts w:asciiTheme="minorEastAsia" w:eastAsiaTheme="minorEastAsia" w:hAnsiTheme="minorEastAsia" w:hint="eastAsia"/>
          <w:bCs/>
          <w:sz w:val="24"/>
          <w:szCs w:val="24"/>
          <w:lang w:eastAsia="zh-CN"/>
        </w:rPr>
        <w:t>）”进行国内公开比选，欢迎国内符合条件的供应商积极参选。</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506921" w:rsidRDefault="00506921" w:rsidP="00506921">
      <w:pPr>
        <w:pStyle w:val="a5"/>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项目名称：凝析油分离装置及减压蒸馏消</w:t>
      </w:r>
      <w:proofErr w:type="gramStart"/>
      <w:r>
        <w:rPr>
          <w:rFonts w:asciiTheme="minorEastAsia" w:eastAsiaTheme="minorEastAsia" w:hAnsiTheme="minorEastAsia" w:hint="eastAsia"/>
          <w:bCs/>
          <w:sz w:val="24"/>
          <w:szCs w:val="24"/>
          <w:lang w:eastAsia="zh-CN"/>
        </w:rPr>
        <w:t>缺改造</w:t>
      </w:r>
      <w:proofErr w:type="gramEnd"/>
      <w:r>
        <w:rPr>
          <w:rFonts w:asciiTheme="minorEastAsia" w:eastAsiaTheme="minorEastAsia" w:hAnsiTheme="minorEastAsia" w:hint="eastAsia"/>
          <w:bCs/>
          <w:sz w:val="24"/>
          <w:szCs w:val="24"/>
          <w:lang w:eastAsia="zh-CN"/>
        </w:rPr>
        <w:t>与2#</w:t>
      </w:r>
      <w:r>
        <w:rPr>
          <w:rFonts w:asciiTheme="minorEastAsia" w:eastAsiaTheme="minorEastAsia" w:hAnsiTheme="minorEastAsia"/>
          <w:bCs/>
          <w:sz w:val="24"/>
          <w:szCs w:val="24"/>
          <w:lang w:eastAsia="zh-CN"/>
        </w:rPr>
        <w:t>90万吨/年新建抽提</w:t>
      </w:r>
      <w:r>
        <w:rPr>
          <w:rFonts w:asciiTheme="minorEastAsia" w:eastAsiaTheme="minorEastAsia" w:hAnsiTheme="minorEastAsia" w:hint="eastAsia"/>
          <w:bCs/>
          <w:sz w:val="24"/>
          <w:szCs w:val="24"/>
          <w:lang w:eastAsia="zh-CN"/>
        </w:rPr>
        <w:t>项目计量泵采购；</w:t>
      </w:r>
    </w:p>
    <w:p w:rsidR="00506921" w:rsidRDefault="00506921" w:rsidP="00506921">
      <w:pPr>
        <w:pStyle w:val="a5"/>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Style w:val="a4"/>
        <w:tblW w:w="4118" w:type="pct"/>
        <w:jc w:val="center"/>
        <w:tblLook w:val="04A0" w:firstRow="1" w:lastRow="0" w:firstColumn="1" w:lastColumn="0" w:noHBand="0" w:noVBand="1"/>
      </w:tblPr>
      <w:tblGrid>
        <w:gridCol w:w="1240"/>
        <w:gridCol w:w="1492"/>
        <w:gridCol w:w="1405"/>
        <w:gridCol w:w="1578"/>
        <w:gridCol w:w="1118"/>
      </w:tblGrid>
      <w:tr w:rsidR="00506921" w:rsidTr="00402819">
        <w:trPr>
          <w:trHeight w:hRule="exact" w:val="566"/>
          <w:jc w:val="center"/>
        </w:trPr>
        <w:tc>
          <w:tcPr>
            <w:tcW w:w="907" w:type="pct"/>
            <w:vAlign w:val="center"/>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序号</w:t>
            </w:r>
          </w:p>
        </w:tc>
        <w:tc>
          <w:tcPr>
            <w:tcW w:w="1092" w:type="pct"/>
            <w:vAlign w:val="center"/>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位号</w:t>
            </w:r>
          </w:p>
        </w:tc>
        <w:tc>
          <w:tcPr>
            <w:tcW w:w="1028" w:type="pct"/>
            <w:vAlign w:val="center"/>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数量</w:t>
            </w:r>
          </w:p>
        </w:tc>
        <w:tc>
          <w:tcPr>
            <w:tcW w:w="1155" w:type="pct"/>
            <w:vAlign w:val="center"/>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名称</w:t>
            </w:r>
          </w:p>
        </w:tc>
        <w:tc>
          <w:tcPr>
            <w:tcW w:w="818" w:type="pct"/>
            <w:vAlign w:val="center"/>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备注</w:t>
            </w:r>
          </w:p>
        </w:tc>
      </w:tr>
      <w:tr w:rsidR="00506921" w:rsidTr="00402819">
        <w:trPr>
          <w:trHeight w:hRule="exact" w:val="552"/>
          <w:jc w:val="center"/>
        </w:trPr>
        <w:tc>
          <w:tcPr>
            <w:tcW w:w="907" w:type="pct"/>
          </w:tcPr>
          <w:p w:rsidR="00506921" w:rsidRDefault="00506921" w:rsidP="00402819">
            <w:pPr>
              <w:pStyle w:val="Other1"/>
              <w:jc w:val="center"/>
              <w:rPr>
                <w:rFonts w:eastAsiaTheme="minorEastAsia"/>
                <w:sz w:val="24"/>
                <w:szCs w:val="24"/>
                <w:lang w:val="en-US" w:eastAsia="zh-CN" w:bidi="ar-SA"/>
              </w:rPr>
            </w:pPr>
            <w:bookmarkStart w:id="0" w:name="OLE_LINK1" w:colFirst="1" w:colLast="1"/>
            <w:r>
              <w:rPr>
                <w:rFonts w:eastAsiaTheme="minorEastAsia" w:hint="eastAsia"/>
                <w:sz w:val="24"/>
                <w:szCs w:val="24"/>
                <w:lang w:val="en-US" w:eastAsia="zh-CN" w:bidi="ar-SA"/>
              </w:rPr>
              <w:t>1</w:t>
            </w:r>
          </w:p>
        </w:tc>
        <w:tc>
          <w:tcPr>
            <w:tcW w:w="1092" w:type="pct"/>
          </w:tcPr>
          <w:p w:rsidR="00506921" w:rsidRDefault="00506921" w:rsidP="00402819">
            <w:pPr>
              <w:jc w:val="center"/>
              <w:rPr>
                <w:color w:val="000000"/>
                <w:sz w:val="24"/>
                <w:szCs w:val="24"/>
              </w:rPr>
            </w:pPr>
            <w:r>
              <w:rPr>
                <w:rFonts w:hint="eastAsia"/>
                <w:color w:val="000000"/>
                <w:kern w:val="2"/>
                <w:sz w:val="24"/>
                <w:szCs w:val="24"/>
              </w:rPr>
              <w:t>13-P-201C</w:t>
            </w:r>
          </w:p>
        </w:tc>
        <w:tc>
          <w:tcPr>
            <w:tcW w:w="1028" w:type="pct"/>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1</w:t>
            </w:r>
          </w:p>
        </w:tc>
        <w:tc>
          <w:tcPr>
            <w:tcW w:w="1155" w:type="pct"/>
          </w:tcPr>
          <w:p w:rsidR="00506921" w:rsidRDefault="00506921" w:rsidP="00402819">
            <w:pPr>
              <w:widowControl/>
              <w:jc w:val="center"/>
              <w:rPr>
                <w:rFonts w:eastAsiaTheme="minorEastAsia"/>
              </w:rPr>
            </w:pPr>
            <w:proofErr w:type="spellStart"/>
            <w:r>
              <w:rPr>
                <w:rFonts w:hint="eastAsia"/>
                <w:color w:val="000000"/>
                <w:sz w:val="24"/>
                <w:szCs w:val="24"/>
                <w:lang w:bidi="ar"/>
              </w:rPr>
              <w:t>中和胺注入泵</w:t>
            </w:r>
            <w:proofErr w:type="spellEnd"/>
          </w:p>
        </w:tc>
        <w:tc>
          <w:tcPr>
            <w:tcW w:w="818" w:type="pct"/>
          </w:tcPr>
          <w:p w:rsidR="00506921" w:rsidRDefault="00506921" w:rsidP="00402819">
            <w:pPr>
              <w:widowControl/>
              <w:jc w:val="center"/>
              <w:rPr>
                <w:color w:val="000000"/>
                <w:sz w:val="24"/>
                <w:szCs w:val="24"/>
              </w:rPr>
            </w:pPr>
            <w:proofErr w:type="spellStart"/>
            <w:r>
              <w:rPr>
                <w:rFonts w:hint="eastAsia"/>
                <w:color w:val="000000"/>
                <w:kern w:val="2"/>
                <w:sz w:val="24"/>
                <w:szCs w:val="24"/>
              </w:rPr>
              <w:t>计量泵</w:t>
            </w:r>
            <w:proofErr w:type="spellEnd"/>
          </w:p>
        </w:tc>
      </w:tr>
      <w:tr w:rsidR="00506921" w:rsidTr="00402819">
        <w:trPr>
          <w:trHeight w:hRule="exact" w:val="552"/>
          <w:jc w:val="center"/>
        </w:trPr>
        <w:tc>
          <w:tcPr>
            <w:tcW w:w="907" w:type="pct"/>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2</w:t>
            </w:r>
          </w:p>
        </w:tc>
        <w:tc>
          <w:tcPr>
            <w:tcW w:w="1092" w:type="pct"/>
          </w:tcPr>
          <w:p w:rsidR="00506921" w:rsidRDefault="00506921" w:rsidP="00402819">
            <w:pPr>
              <w:pStyle w:val="Other1"/>
              <w:jc w:val="center"/>
              <w:rPr>
                <w:rFonts w:eastAsiaTheme="minorEastAsia"/>
                <w:sz w:val="24"/>
                <w:szCs w:val="24"/>
                <w:lang w:val="en-US" w:eastAsia="zh-CN" w:bidi="ar-SA"/>
              </w:rPr>
            </w:pPr>
            <w:r>
              <w:rPr>
                <w:rFonts w:eastAsiaTheme="minorEastAsia"/>
                <w:sz w:val="24"/>
                <w:szCs w:val="24"/>
                <w:lang w:val="en-US" w:eastAsia="zh-CN" w:bidi="ar-SA"/>
              </w:rPr>
              <w:t>P-111A/B</w:t>
            </w:r>
          </w:p>
        </w:tc>
        <w:tc>
          <w:tcPr>
            <w:tcW w:w="1028" w:type="pct"/>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2</w:t>
            </w:r>
          </w:p>
        </w:tc>
        <w:tc>
          <w:tcPr>
            <w:tcW w:w="1155" w:type="pct"/>
          </w:tcPr>
          <w:p w:rsidR="00506921" w:rsidRDefault="00506921" w:rsidP="00402819">
            <w:pPr>
              <w:widowControl/>
              <w:jc w:val="center"/>
              <w:rPr>
                <w:color w:val="000000"/>
                <w:sz w:val="24"/>
                <w:szCs w:val="24"/>
                <w:lang w:bidi="ar"/>
              </w:rPr>
            </w:pPr>
            <w:proofErr w:type="spellStart"/>
            <w:r>
              <w:rPr>
                <w:rFonts w:eastAsiaTheme="minorEastAsia" w:hint="eastAsia"/>
                <w:kern w:val="2"/>
                <w:sz w:val="24"/>
                <w:szCs w:val="24"/>
              </w:rPr>
              <w:t>抽空器凝结水泵</w:t>
            </w:r>
            <w:proofErr w:type="spellEnd"/>
          </w:p>
        </w:tc>
        <w:tc>
          <w:tcPr>
            <w:tcW w:w="818" w:type="pct"/>
          </w:tcPr>
          <w:p w:rsidR="00506921" w:rsidRDefault="00506921" w:rsidP="00402819">
            <w:pPr>
              <w:widowControl/>
              <w:jc w:val="center"/>
              <w:rPr>
                <w:color w:val="000000"/>
                <w:sz w:val="24"/>
                <w:szCs w:val="24"/>
              </w:rPr>
            </w:pPr>
            <w:proofErr w:type="spellStart"/>
            <w:r>
              <w:rPr>
                <w:rFonts w:hint="eastAsia"/>
                <w:color w:val="000000"/>
                <w:kern w:val="2"/>
                <w:sz w:val="24"/>
                <w:szCs w:val="24"/>
              </w:rPr>
              <w:t>计量泵</w:t>
            </w:r>
            <w:proofErr w:type="spellEnd"/>
          </w:p>
        </w:tc>
      </w:tr>
      <w:tr w:rsidR="00506921" w:rsidTr="00402819">
        <w:trPr>
          <w:trHeight w:hRule="exact" w:val="552"/>
          <w:jc w:val="center"/>
        </w:trPr>
        <w:tc>
          <w:tcPr>
            <w:tcW w:w="907" w:type="pct"/>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3</w:t>
            </w:r>
          </w:p>
        </w:tc>
        <w:tc>
          <w:tcPr>
            <w:tcW w:w="1092" w:type="pct"/>
          </w:tcPr>
          <w:p w:rsidR="00506921" w:rsidRDefault="00506921" w:rsidP="00402819">
            <w:pPr>
              <w:widowControl/>
              <w:jc w:val="center"/>
              <w:rPr>
                <w:sz w:val="24"/>
                <w:szCs w:val="24"/>
              </w:rPr>
            </w:pPr>
            <w:r>
              <w:rPr>
                <w:kern w:val="2"/>
                <w:sz w:val="24"/>
                <w:szCs w:val="24"/>
              </w:rPr>
              <w:t>P-116</w:t>
            </w:r>
          </w:p>
        </w:tc>
        <w:tc>
          <w:tcPr>
            <w:tcW w:w="1028" w:type="pct"/>
          </w:tcPr>
          <w:p w:rsidR="00506921" w:rsidRDefault="00506921" w:rsidP="00402819">
            <w:pPr>
              <w:pStyle w:val="Other1"/>
              <w:jc w:val="center"/>
              <w:rPr>
                <w:rFonts w:eastAsiaTheme="minorEastAsia"/>
                <w:sz w:val="24"/>
                <w:szCs w:val="24"/>
                <w:lang w:val="en-US" w:eastAsia="zh-CN" w:bidi="ar-SA"/>
              </w:rPr>
            </w:pPr>
            <w:r>
              <w:rPr>
                <w:rFonts w:eastAsiaTheme="minorEastAsia" w:hint="eastAsia"/>
                <w:sz w:val="24"/>
                <w:szCs w:val="24"/>
                <w:lang w:val="en-US" w:eastAsia="zh-CN" w:bidi="ar-SA"/>
              </w:rPr>
              <w:t>1</w:t>
            </w:r>
          </w:p>
        </w:tc>
        <w:tc>
          <w:tcPr>
            <w:tcW w:w="1155" w:type="pct"/>
          </w:tcPr>
          <w:p w:rsidR="00506921" w:rsidRDefault="00506921" w:rsidP="00402819">
            <w:pPr>
              <w:widowControl/>
              <w:jc w:val="center"/>
              <w:rPr>
                <w:sz w:val="24"/>
                <w:szCs w:val="24"/>
              </w:rPr>
            </w:pPr>
            <w:proofErr w:type="spellStart"/>
            <w:r>
              <w:rPr>
                <w:rFonts w:hint="eastAsia"/>
                <w:kern w:val="2"/>
                <w:sz w:val="24"/>
                <w:szCs w:val="24"/>
              </w:rPr>
              <w:t>溶剂卸料泵</w:t>
            </w:r>
            <w:proofErr w:type="spellEnd"/>
          </w:p>
        </w:tc>
        <w:tc>
          <w:tcPr>
            <w:tcW w:w="818" w:type="pct"/>
          </w:tcPr>
          <w:p w:rsidR="00506921" w:rsidRDefault="00506921" w:rsidP="00402819">
            <w:pPr>
              <w:widowControl/>
              <w:jc w:val="center"/>
              <w:rPr>
                <w:sz w:val="24"/>
                <w:szCs w:val="24"/>
              </w:rPr>
            </w:pPr>
            <w:proofErr w:type="spellStart"/>
            <w:r>
              <w:rPr>
                <w:rFonts w:hint="eastAsia"/>
                <w:color w:val="000000"/>
                <w:kern w:val="2"/>
                <w:sz w:val="24"/>
                <w:szCs w:val="24"/>
              </w:rPr>
              <w:t>计量泵</w:t>
            </w:r>
            <w:proofErr w:type="spellEnd"/>
          </w:p>
        </w:tc>
      </w:tr>
      <w:bookmarkEnd w:id="0"/>
    </w:tbl>
    <w:p w:rsidR="00506921" w:rsidRDefault="00506921" w:rsidP="00506921">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506921" w:rsidRDefault="00506921" w:rsidP="00506921">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506921" w:rsidRDefault="00506921" w:rsidP="0050692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06921" w:rsidRDefault="00506921" w:rsidP="00506921">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3.控制价：￥70万元。</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投标人应具备独立法人资格，且有能力承担本项目的制造商。</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投标人应持有有效的资格证：</w:t>
      </w:r>
    </w:p>
    <w:p w:rsidR="00506921" w:rsidRDefault="00506921" w:rsidP="00506921">
      <w:pPr>
        <w:pStyle w:val="a5"/>
        <w:spacing w:before="0" w:line="360" w:lineRule="auto"/>
        <w:ind w:left="0" w:firstLineChars="200" w:firstLine="480"/>
        <w:jc w:val="both"/>
        <w:rPr>
          <w:sz w:val="24"/>
          <w:szCs w:val="24"/>
          <w:lang w:eastAsia="zh-CN"/>
        </w:rPr>
      </w:pPr>
      <w:r>
        <w:rPr>
          <w:rFonts w:hint="eastAsia"/>
          <w:sz w:val="24"/>
          <w:szCs w:val="24"/>
          <w:lang w:eastAsia="zh-CN"/>
        </w:rPr>
        <w:t>具有质量管理体系认证证书（ISO9001或GB/T19001）(应为涵盖标的物的生产型企业)、环境管理体系认证证书（ISO14001或等同）、职业健康安全管理体系认证证书（OHSAS18001或等同），提供证书复印件并在有效期内。</w:t>
      </w:r>
    </w:p>
    <w:p w:rsidR="00506921" w:rsidRDefault="00506921" w:rsidP="00506921">
      <w:pPr>
        <w:pStyle w:val="a5"/>
        <w:numPr>
          <w:ilvl w:val="0"/>
          <w:numId w:val="3"/>
        </w:numPr>
        <w:autoSpaceDE/>
        <w:autoSpaceDN/>
        <w:spacing w:before="0" w:line="360" w:lineRule="auto"/>
        <w:rPr>
          <w:sz w:val="24"/>
        </w:rPr>
      </w:pPr>
      <w:proofErr w:type="spellStart"/>
      <w:r>
        <w:rPr>
          <w:rFonts w:hint="eastAsia"/>
          <w:sz w:val="24"/>
        </w:rPr>
        <w:lastRenderedPageBreak/>
        <w:t>类似项目业绩</w:t>
      </w:r>
      <w:proofErr w:type="spellEnd"/>
      <w:r>
        <w:rPr>
          <w:rFonts w:hint="eastAsia"/>
          <w:sz w:val="24"/>
        </w:rPr>
        <w:t>：</w:t>
      </w:r>
    </w:p>
    <w:p w:rsidR="00506921" w:rsidRDefault="00506921" w:rsidP="00506921">
      <w:pPr>
        <w:widowControl/>
        <w:ind w:firstLineChars="200" w:firstLine="480"/>
        <w:rPr>
          <w:sz w:val="24"/>
          <w:szCs w:val="24"/>
          <w:lang w:eastAsia="zh-CN"/>
        </w:rPr>
      </w:pPr>
      <w:r>
        <w:rPr>
          <w:rFonts w:hint="eastAsia"/>
          <w:sz w:val="24"/>
          <w:szCs w:val="24"/>
          <w:lang w:eastAsia="zh-CN"/>
        </w:rPr>
        <w:t>投标人在2017-2021年，具有在装置规模不小于800万吨/年炼油或80万吨/年乙烯或80万吨/年PX的项目中，不少于5个（含）双隔膜</w:t>
      </w:r>
      <w:r>
        <w:rPr>
          <w:rFonts w:hint="eastAsia"/>
          <w:color w:val="FF0000"/>
          <w:sz w:val="24"/>
          <w:szCs w:val="24"/>
          <w:lang w:eastAsia="zh-CN"/>
        </w:rPr>
        <w:t>计量泵</w:t>
      </w:r>
      <w:r>
        <w:rPr>
          <w:rFonts w:hint="eastAsia"/>
          <w:sz w:val="24"/>
          <w:szCs w:val="24"/>
          <w:lang w:eastAsia="zh-CN"/>
        </w:rPr>
        <w:t>合同业绩</w:t>
      </w:r>
      <w:r>
        <w:rPr>
          <w:rFonts w:hint="eastAsia"/>
          <w:color w:val="FF0000"/>
          <w:sz w:val="24"/>
          <w:szCs w:val="24"/>
          <w:lang w:eastAsia="zh-CN"/>
        </w:rPr>
        <w:t>。</w:t>
      </w:r>
      <w:r>
        <w:rPr>
          <w:rFonts w:hint="eastAsia"/>
          <w:sz w:val="24"/>
          <w:szCs w:val="24"/>
          <w:lang w:eastAsia="zh-CN"/>
        </w:rPr>
        <w:t>（业绩证明需含计量泵型号、流量、压力、温度、介质、电机功率、装置名称、投用时间、合同复印件（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封皮、签字页、供货范围页，价格可隐藏）及技术协议并加盖投标人公章）。</w:t>
      </w:r>
    </w:p>
    <w:p w:rsidR="00506921" w:rsidRDefault="00506921" w:rsidP="00506921">
      <w:pPr>
        <w:pStyle w:val="a5"/>
        <w:numPr>
          <w:ilvl w:val="0"/>
          <w:numId w:val="3"/>
        </w:numPr>
        <w:autoSpaceDE/>
        <w:autoSpaceDN/>
        <w:spacing w:before="0" w:line="360" w:lineRule="auto"/>
        <w:rPr>
          <w:sz w:val="24"/>
          <w:lang w:eastAsia="zh-CN"/>
        </w:rPr>
      </w:pPr>
      <w:r>
        <w:rPr>
          <w:rFonts w:hint="eastAsia"/>
          <w:color w:val="FF0000"/>
          <w:sz w:val="24"/>
          <w:lang w:eastAsia="zh-CN"/>
        </w:rPr>
        <w:t>投标人需要提供的其他资质（需要提供证明材料）：投标人为中石化或中石油或中海油大型石化企业合格供应商；</w:t>
      </w:r>
      <w:r>
        <w:rPr>
          <w:rFonts w:hint="eastAsia"/>
          <w:sz w:val="24"/>
          <w:lang w:eastAsia="zh-CN"/>
        </w:rPr>
        <w:t xml:space="preserve"> </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与招标人存在利害关系可能影响招标公正性的法人、其他组织或者个人，不得参加投标。</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单位负责人为同一人或者存在控股、管理关系的不同单位，不得参加同一招标项目投标。</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本项目投标截止时投标人未处于被有关行政主管部门、司法机关暂停或者取消投标资格状态的。</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本项目不接受联合体投标；不接受代理商投标；因资金规模、制造周期、国际形势等因素本采购案不接受国外企业投标。</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506921" w:rsidRDefault="00506921" w:rsidP="00506921">
      <w:pPr>
        <w:pStyle w:val="a5"/>
        <w:numPr>
          <w:ilvl w:val="0"/>
          <w:numId w:val="3"/>
        </w:numPr>
        <w:autoSpaceDE/>
        <w:autoSpaceDN/>
        <w:spacing w:before="0" w:line="360" w:lineRule="auto"/>
        <w:rPr>
          <w:color w:val="FF0000"/>
          <w:sz w:val="24"/>
        </w:rPr>
      </w:pPr>
      <w:r>
        <w:rPr>
          <w:rFonts w:hint="eastAsia"/>
          <w:color w:val="FF0000"/>
          <w:sz w:val="24"/>
        </w:rPr>
        <w:t>能够满足请购文件Z59606-01DD-120800-RE-RQ-0003及</w:t>
      </w:r>
      <w:r>
        <w:rPr>
          <w:color w:val="FF0000"/>
          <w:sz w:val="24"/>
        </w:rPr>
        <w:t>413211DA112-EN71-TER-0004 Rev.0</w:t>
      </w:r>
      <w:r>
        <w:rPr>
          <w:rFonts w:hint="eastAsia"/>
          <w:color w:val="FF0000"/>
          <w:sz w:val="24"/>
        </w:rPr>
        <w:t>技术要求及福海创石油化工有限公司原料适应性技改项目数字化交付管理规定-供应商数字化交付管理规定的要求。</w:t>
      </w:r>
    </w:p>
    <w:p w:rsidR="00506921" w:rsidRDefault="00506921" w:rsidP="00506921">
      <w:pPr>
        <w:pStyle w:val="a5"/>
        <w:numPr>
          <w:ilvl w:val="0"/>
          <w:numId w:val="3"/>
        </w:numPr>
        <w:autoSpaceDE/>
        <w:autoSpaceDN/>
        <w:spacing w:before="0" w:line="360" w:lineRule="auto"/>
        <w:rPr>
          <w:sz w:val="24"/>
          <w:lang w:eastAsia="zh-CN"/>
        </w:rPr>
      </w:pPr>
      <w:r>
        <w:rPr>
          <w:rFonts w:hint="eastAsia"/>
          <w:sz w:val="24"/>
          <w:lang w:eastAsia="zh-CN"/>
        </w:rPr>
        <w:t>其他资格要求。投标人不得存在下列情形之一：</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与招标人存在利害关系且可能影响招标公正性；</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与本招标项目的其他投标人为同一个单位负责人；</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与本招标项目的其他投标人存在控股、管理关系；</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与本招标项目其他投标人代理同一个制造商同一品牌同一型号的设备投标；</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为本招标项目提供过设计、编制技术规范和其他文件的咨询服务；</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为本招标项目的相关监理人，或者与本工程项目的相关监理人存在隶属</w:t>
      </w:r>
      <w:r>
        <w:rPr>
          <w:rFonts w:ascii="宋体" w:eastAsia="宋体" w:hAnsi="宋体" w:cs="宋体" w:hint="eastAsia"/>
          <w:sz w:val="24"/>
          <w:szCs w:val="24"/>
        </w:rPr>
        <w:lastRenderedPageBreak/>
        <w:t>关系或者其他利害关系；</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为本招标项目的代建人；</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为本招标项目的招标代理机构；</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与本招标项目的监理人或代建人或招标代理机构同为一个法定代表人；</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与本招标项目的监理人或代建人或招标代理机构存在控股或参股关系；</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被依法暂停或者取消投标资格；</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被责令停产停业、暂扣或者吊销许可证、暂扣或者吊销执照；</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进入清算程序，或被宣告破产，或其他丧失履约能力的情形；</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在最近三年内发生重大产品质量问题（以相关行业主管部门的行政处罚决定或司法机关出具的有关法律文书为准）；</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被市场监督管理机关在全国企业信用信息公示系统中列入严重违法失信企业名单；</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z w:val="24"/>
          <w:szCs w:val="24"/>
        </w:rPr>
        <w:t>www.creditchina.gov.cn</w:t>
      </w:r>
      <w:r>
        <w:rPr>
          <w:rFonts w:ascii="宋体" w:eastAsia="宋体" w:hAnsi="宋体" w:cs="宋体"/>
          <w:sz w:val="24"/>
          <w:szCs w:val="24"/>
        </w:rPr>
        <w:fldChar w:fldCharType="end"/>
      </w:r>
      <w:r>
        <w:rPr>
          <w:rFonts w:ascii="宋体" w:eastAsia="宋体" w:hAnsi="宋体" w:cs="宋体" w:hint="eastAsia"/>
          <w:sz w:val="24"/>
          <w:szCs w:val="24"/>
        </w:rPr>
        <w:t>）或各级信用信息共享平台中列入失信被执行人名单；</w:t>
      </w:r>
    </w:p>
    <w:p w:rsidR="00506921" w:rsidRDefault="00506921" w:rsidP="00506921">
      <w:pPr>
        <w:pStyle w:val="10"/>
        <w:numPr>
          <w:ilvl w:val="0"/>
          <w:numId w:val="4"/>
        </w:numPr>
        <w:adjustRightIn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506921" w:rsidRDefault="00506921" w:rsidP="00506921">
      <w:pPr>
        <w:pStyle w:val="10"/>
        <w:numPr>
          <w:ilvl w:val="0"/>
          <w:numId w:val="4"/>
        </w:numPr>
        <w:adjustRightInd w:val="0"/>
        <w:spacing w:line="360" w:lineRule="auto"/>
        <w:ind w:firstLineChars="0"/>
        <w:jc w:val="left"/>
        <w:rPr>
          <w:rFonts w:ascii="宋体" w:eastAsia="宋体" w:hAnsi="宋体" w:cs="宋体"/>
          <w:color w:val="FF0000"/>
          <w:sz w:val="24"/>
          <w:szCs w:val="24"/>
        </w:rPr>
      </w:pPr>
      <w:r>
        <w:rPr>
          <w:rFonts w:ascii="宋体" w:eastAsia="宋体" w:hAnsi="宋体" w:cs="宋体" w:hint="eastAsia"/>
          <w:color w:val="FF0000"/>
          <w:sz w:val="24"/>
          <w:szCs w:val="24"/>
        </w:rPr>
        <w:t>与招标人无诉讼纠纷。</w:t>
      </w:r>
    </w:p>
    <w:p w:rsidR="00506921" w:rsidRDefault="00506921" w:rsidP="00506921">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s</w:t>
      </w:r>
      <w:r>
        <w:rPr>
          <w:rFonts w:ascii="宋体" w:eastAsia="宋体" w:hAnsi="宋体" w:cs="宋体"/>
          <w:sz w:val="24"/>
          <w:szCs w:val="24"/>
        </w:rPr>
        <w:t xml:space="preserve">) </w:t>
      </w:r>
      <w:r>
        <w:rPr>
          <w:rFonts w:ascii="宋体" w:eastAsia="宋体" w:hAnsi="宋体" w:cs="宋体" w:hint="eastAsia"/>
          <w:sz w:val="24"/>
          <w:szCs w:val="24"/>
        </w:rPr>
        <w:t>法律法规或投标人须知前附表规定的其他情形。</w:t>
      </w:r>
    </w:p>
    <w:p w:rsidR="00506921" w:rsidRDefault="00506921" w:rsidP="00506921">
      <w:pPr>
        <w:pStyle w:val="Style4"/>
        <w:spacing w:line="360" w:lineRule="auto"/>
        <w:ind w:left="0" w:firstLineChars="200" w:firstLine="480"/>
        <w:jc w:val="left"/>
        <w:rPr>
          <w:rFonts w:asciiTheme="minorEastAsia" w:hAnsiTheme="minorEastAsia"/>
          <w:bCs/>
          <w:sz w:val="24"/>
          <w:szCs w:val="24"/>
        </w:rPr>
      </w:pPr>
      <w:r>
        <w:rPr>
          <w:rFonts w:asciiTheme="minorEastAsia" w:hAnsiTheme="minorEastAsia"/>
          <w:bCs/>
          <w:sz w:val="24"/>
          <w:szCs w:val="24"/>
        </w:rPr>
        <w:t>12.</w:t>
      </w:r>
      <w:r>
        <w:rPr>
          <w:rFonts w:asciiTheme="minorEastAsia" w:hAnsiTheme="minorEastAsia" w:hint="eastAsia"/>
          <w:bCs/>
          <w:sz w:val="24"/>
          <w:szCs w:val="24"/>
        </w:rPr>
        <w:t>没有失信黑名单记录（以最高院失信被执行人系统发布信息为准）；</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506921" w:rsidRDefault="00506921" w:rsidP="0050692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日至</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506921" w:rsidRDefault="00506921" w:rsidP="00506921">
      <w:pPr>
        <w:pStyle w:val="a5"/>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506921" w:rsidRDefault="00506921" w:rsidP="00506921">
      <w:pPr>
        <w:pStyle w:val="a5"/>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06921" w:rsidRDefault="00506921" w:rsidP="00506921">
      <w:pPr>
        <w:pStyle w:val="a5"/>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506921" w:rsidRDefault="00506921" w:rsidP="00506921">
      <w:pPr>
        <w:pStyle w:val="a5"/>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本项目参选保证金的金额为：人民币</w:t>
      </w:r>
      <w:proofErr w:type="gramStart"/>
      <w:r>
        <w:rPr>
          <w:rFonts w:asciiTheme="minorEastAsia" w:eastAsiaTheme="minorEastAsia" w:hAnsiTheme="minorEastAsia" w:hint="eastAsia"/>
          <w:sz w:val="24"/>
          <w:szCs w:val="24"/>
          <w:lang w:eastAsia="zh-CN"/>
        </w:rPr>
        <w:t>壹万肆仟</w:t>
      </w:r>
      <w:proofErr w:type="gramEnd"/>
      <w:r>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14,000.00元</w:t>
      </w:r>
      <w:r>
        <w:rPr>
          <w:rFonts w:asciiTheme="minorEastAsia" w:eastAsiaTheme="minorEastAsia" w:hAnsiTheme="minorEastAsia" w:hint="eastAsia"/>
          <w:sz w:val="24"/>
          <w:szCs w:val="24"/>
          <w:lang w:eastAsia="zh-CN"/>
        </w:rPr>
        <w:t>）；</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506921" w:rsidRDefault="00506921" w:rsidP="00506921">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计量泵采购</w:t>
      </w:r>
    </w:p>
    <w:p w:rsidR="00506921" w:rsidRDefault="00506921" w:rsidP="00506921">
      <w:pPr>
        <w:pStyle w:val="a5"/>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506921" w:rsidRDefault="00506921" w:rsidP="00506921">
      <w:pPr>
        <w:pStyle w:val="a5"/>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06921" w:rsidRDefault="00506921" w:rsidP="005069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506921" w:rsidRDefault="00506921" w:rsidP="005069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506921" w:rsidRDefault="00506921" w:rsidP="005069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506921" w:rsidRDefault="00506921" w:rsidP="00506921">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506921" w:rsidRDefault="00506921" w:rsidP="00506921">
      <w:pPr>
        <w:pStyle w:val="a5"/>
        <w:numPr>
          <w:ilvl w:val="0"/>
          <w:numId w:val="6"/>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506921" w:rsidRDefault="00506921" w:rsidP="00506921">
      <w:pPr>
        <w:pStyle w:val="a5"/>
        <w:numPr>
          <w:ilvl w:val="0"/>
          <w:numId w:val="6"/>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506921" w:rsidRDefault="00506921" w:rsidP="00506921">
      <w:pPr>
        <w:pStyle w:val="a5"/>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506921" w:rsidRDefault="00506921" w:rsidP="005069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506921" w:rsidRDefault="00506921" w:rsidP="005069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506921" w:rsidRDefault="00506921" w:rsidP="00506921">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506921" w:rsidRDefault="00506921" w:rsidP="00506921">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506921" w:rsidRDefault="00506921" w:rsidP="00506921">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506921" w:rsidRDefault="00506921" w:rsidP="00506921">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lastRenderedPageBreak/>
        <w:t>2</w:t>
      </w:r>
      <w:r>
        <w:rPr>
          <w:rFonts w:asciiTheme="minorEastAsia" w:eastAsiaTheme="minorEastAsia" w:hAnsiTheme="minorEastAsia" w:cs="宋体"/>
          <w:bCs/>
          <w:sz w:val="24"/>
          <w:szCs w:val="24"/>
        </w:rPr>
        <w:t>022.06.</w:t>
      </w:r>
      <w:r>
        <w:rPr>
          <w:rFonts w:asciiTheme="minorEastAsia" w:eastAsiaTheme="minorEastAsia" w:hAnsiTheme="minorEastAsia" w:cs="宋体"/>
          <w:bCs/>
          <w:sz w:val="24"/>
          <w:szCs w:val="24"/>
        </w:rPr>
        <w:t>1</w:t>
      </w:r>
      <w:r>
        <w:rPr>
          <w:rFonts w:asciiTheme="minorEastAsia" w:eastAsiaTheme="minorEastAsia" w:hAnsiTheme="minorEastAsia" w:cs="宋体"/>
          <w:bCs/>
          <w:sz w:val="24"/>
          <w:szCs w:val="24"/>
        </w:rPr>
        <w:t>4</w:t>
      </w:r>
    </w:p>
    <w:p w:rsidR="00985E85" w:rsidRDefault="00985E85">
      <w:bookmarkStart w:id="1" w:name="_GoBack"/>
      <w:bookmarkEnd w:id="1"/>
    </w:p>
    <w:sectPr w:rsidR="0098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07D81A4E"/>
    <w:lvl w:ilvl="0">
      <w:start w:val="1"/>
      <w:numFmt w:val="lowerLetter"/>
      <w:lvlText w:val="%1)"/>
      <w:lvlJc w:val="left"/>
      <w:pPr>
        <w:ind w:left="845" w:hanging="420"/>
      </w:p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3815388E"/>
    <w:multiLevelType w:val="multilevel"/>
    <w:tmpl w:val="3815388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21"/>
    <w:rsid w:val="00506921"/>
    <w:rsid w:val="0098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10DFB-2682-46E0-9BF1-5A0FF0A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692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06921"/>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table" w:styleId="a4">
    <w:name w:val="Table Grid"/>
    <w:basedOn w:val="a1"/>
    <w:uiPriority w:val="39"/>
    <w:qFormat/>
    <w:rsid w:val="00506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qFormat/>
    <w:rsid w:val="00506921"/>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List Paragraph"/>
    <w:basedOn w:val="a"/>
    <w:uiPriority w:val="34"/>
    <w:qFormat/>
    <w:rsid w:val="00506921"/>
    <w:pPr>
      <w:spacing w:before="206"/>
      <w:ind w:left="959" w:hanging="361"/>
    </w:pPr>
  </w:style>
  <w:style w:type="character" w:customStyle="1" w:styleId="Char">
    <w:name w:val="正文缩进 Char"/>
    <w:link w:val="a3"/>
    <w:qFormat/>
    <w:rsid w:val="00506921"/>
    <w:rPr>
      <w:rFonts w:ascii="Times New Roman" w:eastAsia="宋体" w:hAnsi="Times New Roman" w:cs="Times New Roman"/>
      <w:szCs w:val="20"/>
    </w:rPr>
  </w:style>
  <w:style w:type="paragraph" w:customStyle="1" w:styleId="Style4">
    <w:name w:val="_Style 4"/>
    <w:basedOn w:val="a"/>
    <w:uiPriority w:val="1"/>
    <w:qFormat/>
    <w:rsid w:val="0050692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Other1">
    <w:name w:val="Other|1"/>
    <w:basedOn w:val="a"/>
    <w:qFormat/>
    <w:rsid w:val="00506921"/>
    <w:pPr>
      <w:autoSpaceDE/>
      <w:autoSpaceDN/>
      <w:jc w:val="both"/>
    </w:pPr>
    <w:rPr>
      <w:kern w:val="2"/>
      <w:sz w:val="20"/>
      <w:szCs w:val="20"/>
      <w:lang w:val="zh-TW" w:eastAsia="zh-TW" w:bidi="zh-TW"/>
    </w:rPr>
  </w:style>
  <w:style w:type="paragraph" w:customStyle="1" w:styleId="10">
    <w:name w:val="列出段落1"/>
    <w:basedOn w:val="a"/>
    <w:uiPriority w:val="34"/>
    <w:qFormat/>
    <w:rsid w:val="00506921"/>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2022-06-14T00:31:00Z</dcterms:created>
  <dcterms:modified xsi:type="dcterms:W3CDTF">2022-06-14T00:31:00Z</dcterms:modified>
</cp:coreProperties>
</file>