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：硫酸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2022-FHHY-硫酸-0210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福建海裕石化有限公司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jc w:val="center"/>
        <w:rPr>
          <w:rFonts w:hint="eastAsia" w:eastAsia="宋体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2"/>
          <w:lang w:eastAsia="zh-CN"/>
        </w:rPr>
        <w:t>福建海裕石化有限公司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硫酸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硫酸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2022-FHHY-硫酸-0210）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硫酸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硫酸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具备危化品经营许可、具备易制毒经营许可</w:t>
      </w:r>
      <w:r>
        <w:rPr>
          <w:rFonts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壹仟元整。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asciiTheme="majorEastAsia" w:hAnsiTheme="majorEastAsia" w:eastAsiaTheme="majorEastAsia"/>
          <w:color w:val="auto"/>
          <w:sz w:val="24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12"/>
        <w:spacing w:before="0" w:line="336" w:lineRule="auto"/>
        <w:ind w:left="832" w:firstLine="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危化品经营许可证、易制毒经营备案证明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壹仟元整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12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福建海裕石化有限公司</w:t>
      </w:r>
    </w:p>
    <w:p>
      <w:pPr>
        <w:pStyle w:val="12"/>
        <w:spacing w:line="336" w:lineRule="auto"/>
        <w:ind w:left="0" w:firstLine="1200" w:firstLineChars="5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开户银行：兴业银行股份有限公司漳州古雷支行</w:t>
      </w:r>
    </w:p>
    <w:p>
      <w:pPr>
        <w:pStyle w:val="12"/>
        <w:spacing w:line="336" w:lineRule="auto"/>
        <w:ind w:left="958" w:leftChars="456" w:firstLine="307" w:firstLineChars="128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号：1620701  001  00016883</w:t>
      </w:r>
    </w:p>
    <w:p>
      <w:pPr>
        <w:pStyle w:val="12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</w:p>
    <w:p>
      <w:pPr>
        <w:pStyle w:val="12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（地址：厦门市思明区莲前街道领事馆路16号银领中心B栋4楼</w:t>
      </w:r>
      <w:r>
        <w:rPr>
          <w:rFonts w:asciiTheme="minorEastAsia" w:hAnsiTheme="minorEastAsia" w:eastAsiaTheme="minorEastAsia"/>
          <w:bCs/>
          <w:color w:val="auto"/>
          <w:sz w:val="24"/>
        </w:rPr>
        <w:t>）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报名截止时间延后2个工作日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360" w:lineRule="auto"/>
        <w:ind w:left="959"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3、特别声明：（1）参选人必须对全部物资进行参选，不得部分参选，否则其比选文件将被拒绝。（2）未进行登记报名的参选人，其递交的参选文件将被拒收。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60" w:lineRule="auto"/>
        <w:ind w:left="412" w:firstLine="0"/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商务联系人：李奎  电话：18405067788</w:t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邮箱：wzcgb@fjpec.com.cn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技术联系人：杨森 电话：15160753185   邮箱：</w:t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instrText xml:space="preserve"> HYPERLINK "mailto:jhzhou@fhcpec.com.cn" </w:instrText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syang@fhcpec.com.cn</w:t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纪检监察室电话：0596-6311774  </w:t>
      </w:r>
      <w:r>
        <w:rPr>
          <w:rFonts w:hint="eastAsia" w:cs="宋体" w:asciiTheme="minorEastAsia" w:hAnsi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邮箱：fhcjc@fhcpec.com.cn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/>
          <w:bCs/>
          <w:color w:val="auto"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361001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202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14</w:t>
      </w:r>
      <w:bookmarkStart w:id="2" w:name="_GoBack"/>
      <w:bookmarkEnd w:id="2"/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硫酸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</w:t>
      </w:r>
      <w:r>
        <w:rPr>
          <w:rFonts w:hint="eastAsia" w:asci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具备危化品经营许可、具备易制毒经营许可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壹仟元整</w:t>
      </w:r>
      <w:r>
        <w:rPr>
          <w:rFonts w:hint="eastAsia" w:asci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硫酸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1.公开比选会议期间，确定价格后，愿意以确定的价格供货的报价人立即或会后邮件扫描或传真《公开比选确认单》至我司，由采购部成员办理随后的工贸公司订单送审手续。比选数量为总数量，订单签署上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福建海裕石化有限公司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2022-FHHY-硫酸-0210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硫酸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硫酸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14吨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硫酸（H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vertAlign w:val="baseline"/>
          <w:lang w:val="en-US" w:eastAsia="zh-CN"/>
        </w:rPr>
        <w:t>SO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color w:val="auto"/>
          <w:lang w:val="en-US" w:eastAsia="zh-CN"/>
        </w:rPr>
        <w:t>，游离SO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≤100ppm，铁≤100ppm。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eastAsia="zh-CN"/>
        </w:rPr>
        <w:t>福建海裕石化有限公司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地址：福建省厦门市思明区莲前街道领事馆路16号银领中心B栋4楼 物资装备一部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李奎18405067788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福建海裕石化有限公司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2022-FHHY-硫酸-0210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2022-FHHY-硫酸-0210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福建海裕石化有限公司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2022-FHHY-硫酸-0210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硫酸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14吨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</w:rPr>
        <w:t>元/吨，税率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硫酸（H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vertAlign w:val="baseline"/>
          <w:lang w:val="en-US" w:eastAsia="zh-CN"/>
        </w:rPr>
        <w:t>SO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color w:val="auto"/>
          <w:lang w:val="en-US" w:eastAsia="zh-CN"/>
        </w:rPr>
        <w:t>，游离SO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≤100ppm，铁≤100ppm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壹仟元整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福建海裕石化有限公司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2022-FHHY-硫酸-0210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硫酸（H2SO4）w/%</w:t>
      </w:r>
      <w:r>
        <w:rPr>
          <w:rFonts w:hint="eastAsia" w:ascii="宋体" w:hAnsi="宋体"/>
          <w:color w:val="auto"/>
          <w:sz w:val="28"/>
          <w:szCs w:val="28"/>
          <w:u w:val="single"/>
        </w:rPr>
        <w:t>≥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98，游离SO2≤100ppm，铁≤100ppm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14吨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（数量为估量，以实际发生量为准），</w:t>
      </w:r>
      <w:r>
        <w:rPr>
          <w:rFonts w:hint="eastAsia" w:ascii="宋体" w:hAnsi="宋体"/>
          <w:color w:val="auto"/>
          <w:sz w:val="28"/>
          <w:szCs w:val="28"/>
        </w:rPr>
        <w:t>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"/>
        </w:rPr>
        <w:t>公司最终同意按:供货质量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>硫酸（H2SO4）w/%≥98，游离SO2≤100ppm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"/>
        </w:rPr>
        <w:t>，铁≤100ppm；</w:t>
      </w:r>
      <w:r>
        <w:rPr>
          <w:rFonts w:hint="eastAsia" w:ascii="宋体" w:hAnsi="宋体"/>
          <w:color w:val="auto"/>
          <w:sz w:val="28"/>
          <w:szCs w:val="28"/>
        </w:rPr>
        <w:t>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14吨</w:t>
      </w:r>
      <w:r>
        <w:rPr>
          <w:rFonts w:hint="eastAsia" w:ascii="宋体" w:hAnsi="宋体"/>
          <w:color w:val="auto"/>
          <w:sz w:val="28"/>
          <w:szCs w:val="28"/>
        </w:rPr>
        <w:t>（数量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/>
          <w:color w:val="auto"/>
          <w:sz w:val="28"/>
          <w:szCs w:val="28"/>
        </w:rPr>
        <w:t>估量，以实际发生量为准），含税送到单价：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74413D"/>
    <w:rsid w:val="038054CF"/>
    <w:rsid w:val="03A33B5B"/>
    <w:rsid w:val="03F7264F"/>
    <w:rsid w:val="04695C6C"/>
    <w:rsid w:val="046E24C0"/>
    <w:rsid w:val="04B74C29"/>
    <w:rsid w:val="04FC44A3"/>
    <w:rsid w:val="055F3224"/>
    <w:rsid w:val="058F45E8"/>
    <w:rsid w:val="05EA07C5"/>
    <w:rsid w:val="064C1376"/>
    <w:rsid w:val="068C79F0"/>
    <w:rsid w:val="06BC3D08"/>
    <w:rsid w:val="07405B06"/>
    <w:rsid w:val="07500389"/>
    <w:rsid w:val="078D61C9"/>
    <w:rsid w:val="07FF3F1D"/>
    <w:rsid w:val="08D12DD6"/>
    <w:rsid w:val="08EA4662"/>
    <w:rsid w:val="094B1F65"/>
    <w:rsid w:val="0A4710C8"/>
    <w:rsid w:val="0AAB4A45"/>
    <w:rsid w:val="0B9331E7"/>
    <w:rsid w:val="0C424338"/>
    <w:rsid w:val="0C861BE9"/>
    <w:rsid w:val="0D351048"/>
    <w:rsid w:val="0DAC4BAD"/>
    <w:rsid w:val="0E29205D"/>
    <w:rsid w:val="0ED879FC"/>
    <w:rsid w:val="0F015618"/>
    <w:rsid w:val="0F7D5F98"/>
    <w:rsid w:val="0FB775B8"/>
    <w:rsid w:val="109D40E1"/>
    <w:rsid w:val="10E852E7"/>
    <w:rsid w:val="110F36F7"/>
    <w:rsid w:val="112360E8"/>
    <w:rsid w:val="11AB49BC"/>
    <w:rsid w:val="12000C58"/>
    <w:rsid w:val="137E5D88"/>
    <w:rsid w:val="13FE3E6C"/>
    <w:rsid w:val="14717E92"/>
    <w:rsid w:val="14A163E0"/>
    <w:rsid w:val="15144996"/>
    <w:rsid w:val="15EB255B"/>
    <w:rsid w:val="162A6369"/>
    <w:rsid w:val="16CC3C4B"/>
    <w:rsid w:val="17255A3E"/>
    <w:rsid w:val="17355807"/>
    <w:rsid w:val="1827330B"/>
    <w:rsid w:val="1947532F"/>
    <w:rsid w:val="1BBE6D5D"/>
    <w:rsid w:val="1BE14A1A"/>
    <w:rsid w:val="1CB92AA7"/>
    <w:rsid w:val="1D4D3C25"/>
    <w:rsid w:val="1D7204DB"/>
    <w:rsid w:val="1DB80B45"/>
    <w:rsid w:val="1E8A0861"/>
    <w:rsid w:val="1EBF4331"/>
    <w:rsid w:val="1F60519A"/>
    <w:rsid w:val="1FAF6528"/>
    <w:rsid w:val="200230F1"/>
    <w:rsid w:val="20DA1A5A"/>
    <w:rsid w:val="22E83DA8"/>
    <w:rsid w:val="24470D26"/>
    <w:rsid w:val="2466767A"/>
    <w:rsid w:val="2496308D"/>
    <w:rsid w:val="26906587"/>
    <w:rsid w:val="274737FA"/>
    <w:rsid w:val="281D5F13"/>
    <w:rsid w:val="28213457"/>
    <w:rsid w:val="283347FE"/>
    <w:rsid w:val="297216A5"/>
    <w:rsid w:val="297929D6"/>
    <w:rsid w:val="2BED450E"/>
    <w:rsid w:val="2C9E3ADE"/>
    <w:rsid w:val="2D1B54A6"/>
    <w:rsid w:val="2E385BE3"/>
    <w:rsid w:val="2EFB2454"/>
    <w:rsid w:val="2F84170C"/>
    <w:rsid w:val="30071591"/>
    <w:rsid w:val="30DE275A"/>
    <w:rsid w:val="312D54CE"/>
    <w:rsid w:val="31F34AFF"/>
    <w:rsid w:val="320076FD"/>
    <w:rsid w:val="331E1BC1"/>
    <w:rsid w:val="34A917D2"/>
    <w:rsid w:val="34AB0A71"/>
    <w:rsid w:val="34CB7F77"/>
    <w:rsid w:val="34D06FBC"/>
    <w:rsid w:val="35365FF1"/>
    <w:rsid w:val="357F2005"/>
    <w:rsid w:val="35F258C6"/>
    <w:rsid w:val="364F130A"/>
    <w:rsid w:val="370C2303"/>
    <w:rsid w:val="374B6C62"/>
    <w:rsid w:val="381027C6"/>
    <w:rsid w:val="390F42B9"/>
    <w:rsid w:val="39381001"/>
    <w:rsid w:val="39437561"/>
    <w:rsid w:val="39FD6155"/>
    <w:rsid w:val="3A197276"/>
    <w:rsid w:val="3A806B3D"/>
    <w:rsid w:val="3B202C79"/>
    <w:rsid w:val="3D8C3F03"/>
    <w:rsid w:val="3ED74FA5"/>
    <w:rsid w:val="3F84697E"/>
    <w:rsid w:val="3FA53AE5"/>
    <w:rsid w:val="3FF757AE"/>
    <w:rsid w:val="4079674B"/>
    <w:rsid w:val="412E1749"/>
    <w:rsid w:val="415215C9"/>
    <w:rsid w:val="416D5980"/>
    <w:rsid w:val="425D5BE0"/>
    <w:rsid w:val="429D5569"/>
    <w:rsid w:val="42B570F5"/>
    <w:rsid w:val="43324E83"/>
    <w:rsid w:val="434515C1"/>
    <w:rsid w:val="43E14692"/>
    <w:rsid w:val="44A40B8C"/>
    <w:rsid w:val="44BD78E8"/>
    <w:rsid w:val="465A6F43"/>
    <w:rsid w:val="46CA44E4"/>
    <w:rsid w:val="46FA5CD4"/>
    <w:rsid w:val="47BB6757"/>
    <w:rsid w:val="49105636"/>
    <w:rsid w:val="49456A20"/>
    <w:rsid w:val="497038CD"/>
    <w:rsid w:val="499A66C3"/>
    <w:rsid w:val="4AB3161E"/>
    <w:rsid w:val="4AF66252"/>
    <w:rsid w:val="4BB016BF"/>
    <w:rsid w:val="4CB875D3"/>
    <w:rsid w:val="4CCA0D79"/>
    <w:rsid w:val="4E3C216B"/>
    <w:rsid w:val="4F900B6C"/>
    <w:rsid w:val="4FC9341F"/>
    <w:rsid w:val="53E9321B"/>
    <w:rsid w:val="542A50A2"/>
    <w:rsid w:val="546A517C"/>
    <w:rsid w:val="555262C2"/>
    <w:rsid w:val="55EB1097"/>
    <w:rsid w:val="566A7472"/>
    <w:rsid w:val="56732B47"/>
    <w:rsid w:val="56DE1CF7"/>
    <w:rsid w:val="56EF4FC6"/>
    <w:rsid w:val="573838FA"/>
    <w:rsid w:val="58DA20C8"/>
    <w:rsid w:val="593E565E"/>
    <w:rsid w:val="59A10799"/>
    <w:rsid w:val="59C41AA5"/>
    <w:rsid w:val="59E80423"/>
    <w:rsid w:val="5A6B0796"/>
    <w:rsid w:val="5B4026A7"/>
    <w:rsid w:val="5B4524D2"/>
    <w:rsid w:val="5B755EAD"/>
    <w:rsid w:val="5BE50971"/>
    <w:rsid w:val="5C103EA5"/>
    <w:rsid w:val="5C8B0489"/>
    <w:rsid w:val="5D451D1A"/>
    <w:rsid w:val="5DDE7148"/>
    <w:rsid w:val="5E4541F8"/>
    <w:rsid w:val="5E82799A"/>
    <w:rsid w:val="5FEC11EA"/>
    <w:rsid w:val="615239D8"/>
    <w:rsid w:val="624A629A"/>
    <w:rsid w:val="628D5074"/>
    <w:rsid w:val="63126166"/>
    <w:rsid w:val="639D203B"/>
    <w:rsid w:val="63A0423C"/>
    <w:rsid w:val="6446790D"/>
    <w:rsid w:val="651A5C4B"/>
    <w:rsid w:val="659953ED"/>
    <w:rsid w:val="65B31BCC"/>
    <w:rsid w:val="65E84085"/>
    <w:rsid w:val="665925BF"/>
    <w:rsid w:val="67D04E02"/>
    <w:rsid w:val="67F91C55"/>
    <w:rsid w:val="689B349A"/>
    <w:rsid w:val="68A5764F"/>
    <w:rsid w:val="6A666D12"/>
    <w:rsid w:val="6B286A04"/>
    <w:rsid w:val="6B3850CE"/>
    <w:rsid w:val="6C54385C"/>
    <w:rsid w:val="6C6D0B4A"/>
    <w:rsid w:val="6C75163B"/>
    <w:rsid w:val="6CE466F9"/>
    <w:rsid w:val="6EF530A1"/>
    <w:rsid w:val="6F12237A"/>
    <w:rsid w:val="6F457884"/>
    <w:rsid w:val="70DF5DB7"/>
    <w:rsid w:val="71155335"/>
    <w:rsid w:val="714825EF"/>
    <w:rsid w:val="724F1F27"/>
    <w:rsid w:val="72A8130B"/>
    <w:rsid w:val="72B74068"/>
    <w:rsid w:val="72E24278"/>
    <w:rsid w:val="738D2254"/>
    <w:rsid w:val="741C6AC9"/>
    <w:rsid w:val="74A14526"/>
    <w:rsid w:val="74A25915"/>
    <w:rsid w:val="75940C8C"/>
    <w:rsid w:val="7627784A"/>
    <w:rsid w:val="76BD49F2"/>
    <w:rsid w:val="76F37A06"/>
    <w:rsid w:val="770A09EF"/>
    <w:rsid w:val="771D0ED8"/>
    <w:rsid w:val="791E4907"/>
    <w:rsid w:val="79BC0732"/>
    <w:rsid w:val="7A012FE1"/>
    <w:rsid w:val="7A383514"/>
    <w:rsid w:val="7C6000DE"/>
    <w:rsid w:val="7D483738"/>
    <w:rsid w:val="7D5A5061"/>
    <w:rsid w:val="7EB51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character" w:customStyle="1" w:styleId="18">
    <w:name w:val="common_over_page_btn"/>
    <w:basedOn w:val="8"/>
    <w:qFormat/>
    <w:uiPriority w:val="0"/>
    <w:rPr>
      <w:color w:val="999999"/>
      <w:bdr w:val="single" w:color="D4D4D4" w:sz="6" w:space="0"/>
      <w:shd w:val="clear" w:fill="FFFFFF"/>
    </w:rPr>
  </w:style>
  <w:style w:type="character" w:customStyle="1" w:styleId="19">
    <w:name w:val="common_over_page_bt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785</Words>
  <Characters>4478</Characters>
  <Lines>37</Lines>
  <Paragraphs>10</Paragraphs>
  <TotalTime>0</TotalTime>
  <ScaleCrop>false</ScaleCrop>
  <LinksUpToDate>false</LinksUpToDate>
  <CharactersWithSpaces>5253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Luky Li</cp:lastModifiedBy>
  <dcterms:modified xsi:type="dcterms:W3CDTF">2022-02-14T02:17:14Z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0CCB45109742491C9608F5CFE7FDA0D2</vt:lpwstr>
  </property>
</Properties>
</file>