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无水氯化钙</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无水氯化钙</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0127</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年1月</w:t>
      </w:r>
      <w:r>
        <w:rPr>
          <w:rFonts w:hint="eastAsia" w:asciiTheme="minorEastAsia" w:hAnsiTheme="minorEastAsia" w:eastAsiaTheme="minorEastAsia" w:cstheme="minorEastAsia"/>
          <w:color w:val="auto"/>
          <w:kern w:val="0"/>
          <w:sz w:val="28"/>
          <w:szCs w:val="28"/>
          <w:shd w:val="clear" w:color="auto" w:fill="FFFFFF"/>
          <w:lang w:val="en-US" w:eastAsia="zh-CN"/>
        </w:rPr>
        <w:t>27</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福建海裕石化有限公司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无水氯化钙</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福建海裕石化</w:t>
      </w:r>
      <w:r>
        <w:rPr>
          <w:rFonts w:hint="eastAsia" w:asciiTheme="minorEastAsia" w:hAnsiTheme="minorEastAsia" w:eastAsiaTheme="minorEastAsia"/>
          <w:bCs/>
          <w:color w:val="auto"/>
          <w:sz w:val="24"/>
          <w:lang w:eastAsia="zh-CN"/>
        </w:rPr>
        <w:t>有限公司就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无水氯化钙</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无水氯化钙</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0127</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无水氯化钙。</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无水氯化钙</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叁</w:t>
      </w:r>
      <w:r>
        <w:rPr>
          <w:rFonts w:hint="eastAsia" w:asciiTheme="minorEastAsia" w:hAnsiTheme="minorEastAsia" w:eastAsiaTheme="minorEastAsia"/>
          <w:bCs/>
          <w:sz w:val="24"/>
        </w:rPr>
        <w:t>仟圆整）。</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18</w:t>
      </w:r>
      <w:r>
        <w:rPr>
          <w:rFonts w:hint="eastAsia" w:asciiTheme="majorEastAsia" w:hAnsiTheme="majorEastAsia" w:eastAsiaTheme="majorEastAsia"/>
          <w:color w:val="auto"/>
          <w:sz w:val="24"/>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叁</w:t>
      </w:r>
      <w:r>
        <w:rPr>
          <w:rFonts w:hint="eastAsia" w:asciiTheme="minorEastAsia" w:hAnsiTheme="minorEastAsia" w:eastAsiaTheme="minorEastAsia"/>
          <w:bCs/>
          <w:sz w:val="24"/>
        </w:rPr>
        <w:t>仟圆整），如中选、该保证金转为履约保证金，如不中选，在比选结</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6"/>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pStyle w:val="16"/>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开户银行：兴业银行股份有限公司漳州古雷支行</w:t>
      </w:r>
    </w:p>
    <w:p>
      <w:pPr>
        <w:pStyle w:val="16"/>
        <w:ind w:left="0" w:leftChars="0"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账    号：1620701  001  00016883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bCs/>
          <w:sz w:val="24"/>
        </w:rPr>
      </w:pP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6"/>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w:t>
      </w:r>
      <w:r>
        <w:rPr>
          <w:rFonts w:hint="eastAsia" w:asciiTheme="minorEastAsia" w:hAnsiTheme="minorEastAsia" w:eastAsiaTheme="minorEastAsia"/>
          <w:bCs/>
          <w:color w:val="auto"/>
          <w:sz w:val="24"/>
          <w:lang w:val="en-US" w:eastAsia="zh-CN"/>
        </w:rPr>
        <w:t>形式</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通过加密邮件形式发送至</w:t>
      </w:r>
      <w:r>
        <w:rPr>
          <w:rStyle w:val="13"/>
          <w:rFonts w:hint="eastAsia" w:ascii="宋体" w:hAnsi="宋体" w:cs="宋体"/>
          <w:color w:val="000000" w:themeColor="text1"/>
          <w:sz w:val="24"/>
        </w:rPr>
        <w:t>wzcgb@fjpec.com.cn</w:t>
      </w:r>
      <w:r>
        <w:rPr>
          <w:rStyle w:val="13"/>
          <w:rFonts w:hint="eastAsia" w:ascii="宋体" w:hAnsi="宋体" w:cs="宋体"/>
          <w:color w:val="000000" w:themeColor="text1"/>
          <w:sz w:val="24"/>
          <w:lang w:eastAsia="zh-CN"/>
        </w:rPr>
        <w:t>。</w:t>
      </w:r>
    </w:p>
    <w:p>
      <w:pPr>
        <w:pStyle w:val="16"/>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6"/>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周建华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0596-6311614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jhzhou</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w:t>
      </w:r>
      <w:bookmarkStart w:id="1" w:name="_GoBack"/>
      <w:bookmarkEnd w:id="1"/>
      <w:r>
        <w:rPr>
          <w:rFonts w:hint="eastAsia" w:asciiTheme="minorEastAsia" w:hAnsiTheme="minorEastAsia" w:eastAsiaTheme="minorEastAsia"/>
          <w:bCs/>
          <w:color w:val="auto"/>
          <w:sz w:val="24"/>
          <w:lang w:val="en-US" w:eastAsia="zh-CN"/>
        </w:rPr>
        <w:t>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年1月</w:t>
      </w:r>
      <w:r>
        <w:rPr>
          <w:rFonts w:hint="eastAsia" w:asciiTheme="minorEastAsia" w:hAnsiTheme="minorEastAsia" w:eastAsiaTheme="minorEastAsia"/>
          <w:bCs/>
          <w:color w:val="auto"/>
          <w:sz w:val="24"/>
          <w:lang w:val="en-US" w:eastAsia="zh-CN"/>
        </w:rPr>
        <w:t>27</w:t>
      </w:r>
      <w:r>
        <w:rPr>
          <w:rFonts w:hint="eastAsia" w:asciiTheme="minorEastAsia" w:hAnsiTheme="minorEastAsia" w:eastAsiaTheme="minorEastAsia"/>
          <w:bCs/>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无水氯化钙</w:t>
      </w:r>
      <w:r>
        <w:rPr>
          <w:rFonts w:hint="eastAsia" w:ascii="宋体" w:hAnsi="宋体"/>
          <w:color w:val="auto"/>
          <w:sz w:val="18"/>
          <w:szCs w:val="18"/>
          <w:u w:val="single"/>
          <w:lang w:eastAsia="zh-CN"/>
        </w:rPr>
        <w:t>。</w:t>
      </w:r>
    </w:p>
    <w:p>
      <w:pPr>
        <w:pStyle w:val="19"/>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sz w:val="18"/>
          <w:szCs w:val="18"/>
        </w:rPr>
        <w:t>（5）参选保证金：</w:t>
      </w:r>
      <w:r>
        <w:rPr>
          <w:rFonts w:hint="eastAsia" w:ascii="宋体"/>
          <w:sz w:val="18"/>
          <w:szCs w:val="18"/>
          <w:lang w:val="en-US" w:eastAsia="zh-CN"/>
        </w:rPr>
        <w:t>3</w:t>
      </w:r>
      <w:r>
        <w:rPr>
          <w:rFonts w:hint="eastAsia" w:ascii="宋体"/>
          <w:sz w:val="18"/>
          <w:szCs w:val="18"/>
        </w:rPr>
        <w:t>000元（</w:t>
      </w:r>
      <w:r>
        <w:rPr>
          <w:rFonts w:hint="eastAsia" w:ascii="宋体"/>
          <w:sz w:val="18"/>
          <w:szCs w:val="18"/>
          <w:lang w:val="en-US" w:eastAsia="zh-CN"/>
        </w:rPr>
        <w:t>叁</w:t>
      </w:r>
      <w:r>
        <w:rPr>
          <w:rFonts w:hint="eastAsia" w:ascii="宋体"/>
          <w:sz w:val="18"/>
          <w:szCs w:val="18"/>
        </w:rPr>
        <w:t>仟圆整）。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以下材料，称为“参选文件”逐页盖公章</w:t>
      </w:r>
      <w:r>
        <w:rPr>
          <w:rFonts w:hint="eastAsia" w:ascii="宋体" w:hAnsi="宋体"/>
          <w:color w:val="auto"/>
          <w:sz w:val="18"/>
          <w:szCs w:val="18"/>
          <w:lang w:val="en-US" w:eastAsia="zh-CN"/>
        </w:rPr>
        <w:t>扫描后</w:t>
      </w:r>
      <w:r>
        <w:rPr>
          <w:rFonts w:hint="eastAsia" w:ascii="宋体" w:hAnsi="宋体"/>
          <w:color w:val="auto"/>
          <w:sz w:val="18"/>
          <w:szCs w:val="18"/>
          <w:u w:val="single"/>
          <w:lang w:val="en-US" w:eastAsia="zh-CN"/>
        </w:rPr>
        <w:t>采用加密邮件形式递交报价</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无水氯化钙</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福建海裕石化有限公司</w:t>
      </w:r>
      <w:r>
        <w:rPr>
          <w:rFonts w:hint="eastAsia" w:ascii="宋体" w:hAnsi="宋体" w:cs="宋体"/>
          <w:b/>
          <w:color w:val="auto"/>
          <w:kern w:val="0"/>
          <w:sz w:val="24"/>
        </w:rPr>
        <w:t>有权选择废选。</w:t>
      </w:r>
    </w:p>
    <w:p>
      <w:pPr>
        <w:spacing w:line="320" w:lineRule="exact"/>
        <w:rPr>
          <w:rFonts w:hint="eastAsia" w:ascii="宋体" w:hAnsi="宋体" w:cs="宋体"/>
          <w:b/>
          <w:color w:val="auto"/>
          <w:kern w:val="0"/>
          <w:sz w:val="24"/>
        </w:rPr>
      </w:pP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JHY-无水氯化钙</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0127</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无水氯化钙</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数量：10吨。</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详见附件1，质量指标。</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袋装。</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全部产品需于2022年3月4日前送至需方指定地点</w:t>
      </w:r>
      <w:r>
        <w:rPr>
          <w:rFonts w:hint="eastAsia" w:ascii="宋体" w:hAnsi="宋体"/>
          <w:color w:val="auto"/>
          <w:sz w:val="24"/>
        </w:rPr>
        <w:t>。</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无水氯化钙</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。全部</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u w:val="single"/>
          <w:lang w:val="en-US" w:eastAsia="zh-CN"/>
        </w:rPr>
        <w:t>本次报价采取加密邮件报价形式</w:t>
      </w:r>
      <w:r>
        <w:rPr>
          <w:rFonts w:hint="eastAsia" w:ascii="宋体" w:hAnsi="宋体" w:cs="宋体"/>
          <w:color w:val="auto"/>
          <w:sz w:val="24"/>
          <w:lang w:val="en-US" w:eastAsia="zh-CN"/>
        </w:rPr>
        <w:t>，</w:t>
      </w:r>
      <w:r>
        <w:rPr>
          <w:rFonts w:hint="eastAsia" w:ascii="宋体" w:hAnsi="宋体" w:cs="宋体"/>
          <w:color w:val="auto"/>
          <w:sz w:val="24"/>
        </w:rPr>
        <w:t>参选文件包含比选公告、参选规定及说明、公开比选文件、参选书、法定代表人授权书、报价单，上述</w:t>
      </w:r>
      <w:r>
        <w:rPr>
          <w:rFonts w:hint="eastAsia" w:ascii="宋体" w:hAnsi="宋体" w:cs="宋体"/>
          <w:color w:val="auto"/>
          <w:sz w:val="24"/>
          <w:lang w:val="en-US" w:eastAsia="zh-CN"/>
        </w:rPr>
        <w:t>六</w:t>
      </w:r>
      <w:r>
        <w:rPr>
          <w:rFonts w:hint="eastAsia" w:ascii="宋体" w:hAnsi="宋体" w:cs="宋体"/>
          <w:color w:val="auto"/>
          <w:sz w:val="24"/>
        </w:rPr>
        <w:t>项文件逐页盖公章。</w:t>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fldChar w:fldCharType="begin"/>
      </w:r>
      <w:r>
        <w:rPr>
          <w:rFonts w:hint="eastAsia" w:ascii="宋体" w:hAnsi="宋体" w:cs="宋体"/>
          <w:color w:val="000000" w:themeColor="text1"/>
          <w:sz w:val="24"/>
          <w:lang w:val="en-US" w:eastAsia="zh-CN"/>
        </w:rPr>
        <w:instrText xml:space="preserve"> HYPERLINK "mailto:8.3参选文件发送至wzcgb@fjpec.com.cn进行邮件加密报价，开选时请告知邮件密码。" </w:instrText>
      </w:r>
      <w:r>
        <w:rPr>
          <w:rFonts w:hint="eastAsia" w:ascii="宋体" w:hAnsi="宋体" w:cs="宋体"/>
          <w:color w:val="000000" w:themeColor="text1"/>
          <w:sz w:val="24"/>
          <w:lang w:val="en-US" w:eastAsia="zh-CN"/>
        </w:rPr>
        <w:fldChar w:fldCharType="separate"/>
      </w:r>
      <w:r>
        <w:rPr>
          <w:rStyle w:val="13"/>
          <w:rFonts w:hint="eastAsia" w:ascii="宋体" w:hAnsi="宋体" w:cs="宋体"/>
          <w:color w:val="000000" w:themeColor="text1"/>
          <w:sz w:val="24"/>
          <w:lang w:val="en-US" w:eastAsia="zh-CN"/>
        </w:rPr>
        <w:t>8</w:t>
      </w:r>
      <w:r>
        <w:rPr>
          <w:rStyle w:val="13"/>
          <w:rFonts w:hint="eastAsia" w:ascii="宋体" w:hAnsi="宋体" w:cs="宋体"/>
          <w:color w:val="000000" w:themeColor="text1"/>
          <w:sz w:val="24"/>
        </w:rPr>
        <w:t>.</w:t>
      </w:r>
      <w:r>
        <w:rPr>
          <w:rStyle w:val="13"/>
          <w:rFonts w:hint="eastAsia" w:ascii="宋体" w:hAnsi="宋体" w:cs="宋体"/>
          <w:color w:val="000000" w:themeColor="text1"/>
          <w:sz w:val="24"/>
          <w:lang w:val="en-US" w:eastAsia="zh-CN"/>
        </w:rPr>
        <w:t>2参选文件发送至</w:t>
      </w:r>
      <w:r>
        <w:rPr>
          <w:rStyle w:val="13"/>
          <w:rFonts w:hint="eastAsia" w:ascii="宋体" w:hAnsi="宋体" w:cs="宋体"/>
          <w:color w:val="000000" w:themeColor="text1"/>
          <w:sz w:val="24"/>
        </w:rPr>
        <w:t>wzcgb@fjpec.com.cn</w:t>
      </w:r>
      <w:r>
        <w:rPr>
          <w:rStyle w:val="13"/>
          <w:rFonts w:hint="eastAsia" w:ascii="宋体" w:hAnsi="宋体" w:cs="宋体"/>
          <w:color w:val="000000" w:themeColor="text1"/>
          <w:sz w:val="24"/>
          <w:lang w:val="en-US" w:eastAsia="zh-CN"/>
        </w:rPr>
        <w:t>进行邮件加密报价，开选时请告知邮件密码</w:t>
      </w:r>
      <w:r>
        <w:rPr>
          <w:rStyle w:val="13"/>
          <w:rFonts w:hint="eastAsia" w:ascii="宋体" w:hAnsi="宋体" w:cs="宋体"/>
          <w:color w:val="000000" w:themeColor="text1"/>
          <w:sz w:val="24"/>
        </w:rPr>
        <w:t>。</w:t>
      </w:r>
      <w:r>
        <w:rPr>
          <w:rFonts w:hint="eastAsia" w:ascii="宋体" w:hAnsi="宋体" w:cs="宋体"/>
          <w:color w:val="000000" w:themeColor="text1"/>
          <w:sz w:val="24"/>
          <w:lang w:val="en-US" w:eastAsia="zh-CN"/>
        </w:rPr>
        <w:fldChar w:fldCharType="end"/>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参选文件递交截止时间：见比选公告。</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公司名称：福建海裕石化有限公司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无水氯化钙</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0127</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无水氯化钙</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0127</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无水氯化钙</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0127</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无水氯化钙</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10吨</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详见附件1，质量指标。</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s="宋体"/>
          <w:color w:val="auto"/>
          <w:sz w:val="24"/>
          <w:u w:val="none"/>
          <w:lang w:val="en-US" w:eastAsia="zh-CN"/>
        </w:rPr>
        <w:t>袋装</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全部产品需于2022年3月4日底前送至需方指定地点</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。全部</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rPr>
        <w:t>202</w:t>
      </w:r>
      <w:r>
        <w:rPr>
          <w:rFonts w:hint="eastAsia" w:asciiTheme="minorEastAsia" w:hAnsiTheme="minorEastAsia" w:eastAsiaTheme="minorEastAsia"/>
          <w:bCs/>
          <w:color w:val="auto"/>
          <w:sz w:val="28"/>
          <w:szCs w:val="28"/>
          <w:u w:val="single"/>
          <w:lang w:val="en-US" w:eastAsia="zh-CN"/>
        </w:rPr>
        <w:t>2</w:t>
      </w:r>
      <w:r>
        <w:rPr>
          <w:rFonts w:hint="eastAsia" w:asciiTheme="minorEastAsia" w:hAnsiTheme="minorEastAsia" w:eastAsiaTheme="minorEastAsia"/>
          <w:bCs/>
          <w:color w:val="auto"/>
          <w:sz w:val="28"/>
          <w:szCs w:val="28"/>
          <w:u w:val="single"/>
        </w:rPr>
        <w:t>-F</w:t>
      </w:r>
      <w:r>
        <w:rPr>
          <w:rFonts w:hint="eastAsia" w:asciiTheme="minorEastAsia" w:hAnsiTheme="minorEastAsia" w:eastAsiaTheme="minorEastAsia"/>
          <w:bCs/>
          <w:color w:val="auto"/>
          <w:sz w:val="28"/>
          <w:szCs w:val="28"/>
          <w:u w:val="single"/>
          <w:lang w:val="en-US" w:eastAsia="zh-CN"/>
        </w:rPr>
        <w:t>JHY-无水氯化钙</w:t>
      </w:r>
      <w:r>
        <w:rPr>
          <w:rFonts w:hint="eastAsia" w:asciiTheme="minorEastAsia" w:hAnsiTheme="minorEastAsia" w:eastAsiaTheme="minorEastAsia"/>
          <w:bCs/>
          <w:color w:val="auto"/>
          <w:sz w:val="28"/>
          <w:szCs w:val="28"/>
          <w:u w:val="single"/>
          <w:lang w:eastAsia="zh-CN"/>
        </w:rPr>
        <w:t>-</w:t>
      </w:r>
      <w:r>
        <w:rPr>
          <w:rFonts w:hint="eastAsia" w:asciiTheme="minorEastAsia" w:hAnsiTheme="minorEastAsia" w:eastAsiaTheme="minorEastAsia"/>
          <w:bCs/>
          <w:color w:val="auto"/>
          <w:sz w:val="28"/>
          <w:szCs w:val="28"/>
          <w:u w:val="single"/>
          <w:lang w:val="en-US" w:eastAsia="zh-CN"/>
        </w:rPr>
        <w:t>0127</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附件1 质量指标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200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项目</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指标</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氯化钙（CaCl</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≥94.00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碱度（以Ca（OH）</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≤0.25</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总碱金属氯化物（以NaCl计）w/%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≤5.0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铁（Fe以干基计）w/%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≤0.006</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水不溶物w/%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≤0.25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PH值</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7.5-11.0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总镁（以MgCl</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硫酸盐（以CaSO</w:t>
            </w:r>
            <w:r>
              <w:rPr>
                <w:rFonts w:hint="eastAsia" w:ascii="宋体" w:hAnsi="宋体" w:cs="宋体"/>
                <w:b w:val="0"/>
                <w:bCs/>
                <w:color w:val="auto"/>
                <w:sz w:val="21"/>
                <w:szCs w:val="21"/>
                <w:vertAlign w:val="subscript"/>
                <w:lang w:val="en-US" w:eastAsia="zh-CN"/>
              </w:rPr>
              <w:t>4</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≤0.05</w:t>
            </w:r>
          </w:p>
        </w:tc>
        <w:tc>
          <w:tcPr>
            <w:tcW w:w="2841" w:type="dxa"/>
          </w:tcPr>
          <w:p>
            <w:pPr>
              <w:spacing w:line="36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注：检验项目为规定的全部项目。</w:t>
            </w:r>
          </w:p>
        </w:tc>
      </w:tr>
    </w:tbl>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B7036A8"/>
    <w:multiLevelType w:val="singleLevel"/>
    <w:tmpl w:val="5B7036A8"/>
    <w:lvl w:ilvl="0" w:tentative="0">
      <w:start w:val="3"/>
      <w:numFmt w:val="decimal"/>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1"/>
  </w:num>
  <w:num w:numId="3">
    <w:abstractNumId w:val="8"/>
  </w:num>
  <w:num w:numId="4">
    <w:abstractNumId w:val="3"/>
  </w:num>
  <w:num w:numId="5">
    <w:abstractNumId w:val="5"/>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32D15FD"/>
    <w:rsid w:val="032F04D8"/>
    <w:rsid w:val="03CE22E9"/>
    <w:rsid w:val="03E5328D"/>
    <w:rsid w:val="042207A6"/>
    <w:rsid w:val="04675C1C"/>
    <w:rsid w:val="046E24C0"/>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90A2F1F"/>
    <w:rsid w:val="096D274B"/>
    <w:rsid w:val="0A58515B"/>
    <w:rsid w:val="0A8B6BF2"/>
    <w:rsid w:val="0AB96449"/>
    <w:rsid w:val="0B1E7010"/>
    <w:rsid w:val="0B35169E"/>
    <w:rsid w:val="0B4A13AC"/>
    <w:rsid w:val="0B8D5623"/>
    <w:rsid w:val="0B8E420A"/>
    <w:rsid w:val="0BF4189E"/>
    <w:rsid w:val="0C3D7481"/>
    <w:rsid w:val="0CF127D7"/>
    <w:rsid w:val="0D200600"/>
    <w:rsid w:val="0E02486F"/>
    <w:rsid w:val="0E3D2F5D"/>
    <w:rsid w:val="0E3F22A2"/>
    <w:rsid w:val="0E9503CA"/>
    <w:rsid w:val="0EE30943"/>
    <w:rsid w:val="0F8C0A60"/>
    <w:rsid w:val="0FA364D6"/>
    <w:rsid w:val="0FCE6C96"/>
    <w:rsid w:val="0FE34343"/>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CF31F9"/>
    <w:rsid w:val="12DB5F87"/>
    <w:rsid w:val="1387789C"/>
    <w:rsid w:val="13B74194"/>
    <w:rsid w:val="14937361"/>
    <w:rsid w:val="149868E6"/>
    <w:rsid w:val="14C77424"/>
    <w:rsid w:val="15033088"/>
    <w:rsid w:val="15101A52"/>
    <w:rsid w:val="15125849"/>
    <w:rsid w:val="15B653C8"/>
    <w:rsid w:val="15BF2E22"/>
    <w:rsid w:val="15C31A47"/>
    <w:rsid w:val="16172661"/>
    <w:rsid w:val="16270A04"/>
    <w:rsid w:val="165069FC"/>
    <w:rsid w:val="173B43BC"/>
    <w:rsid w:val="178C691A"/>
    <w:rsid w:val="183B0D71"/>
    <w:rsid w:val="184968FC"/>
    <w:rsid w:val="185D1C5F"/>
    <w:rsid w:val="188C5585"/>
    <w:rsid w:val="18C27F65"/>
    <w:rsid w:val="18DD46EE"/>
    <w:rsid w:val="18FA6BBD"/>
    <w:rsid w:val="192A2CC6"/>
    <w:rsid w:val="1A2F6DF9"/>
    <w:rsid w:val="1A4C05AB"/>
    <w:rsid w:val="1AF22A1C"/>
    <w:rsid w:val="1AFD66F4"/>
    <w:rsid w:val="1B233A0E"/>
    <w:rsid w:val="1B7A2426"/>
    <w:rsid w:val="1B8F7883"/>
    <w:rsid w:val="1B927AE6"/>
    <w:rsid w:val="1BDB364C"/>
    <w:rsid w:val="1C1B3FE4"/>
    <w:rsid w:val="1C8261A0"/>
    <w:rsid w:val="1D0113C9"/>
    <w:rsid w:val="1D05782C"/>
    <w:rsid w:val="1DB72E7F"/>
    <w:rsid w:val="1DDB74E0"/>
    <w:rsid w:val="1DF747BA"/>
    <w:rsid w:val="1E3264F3"/>
    <w:rsid w:val="1E600A9D"/>
    <w:rsid w:val="1EBD3B62"/>
    <w:rsid w:val="1F02429F"/>
    <w:rsid w:val="1F133081"/>
    <w:rsid w:val="1F590291"/>
    <w:rsid w:val="207E3421"/>
    <w:rsid w:val="2090579A"/>
    <w:rsid w:val="20AF45AF"/>
    <w:rsid w:val="212D3E49"/>
    <w:rsid w:val="215846DF"/>
    <w:rsid w:val="21BD6DBB"/>
    <w:rsid w:val="22521DD3"/>
    <w:rsid w:val="23464916"/>
    <w:rsid w:val="23496B54"/>
    <w:rsid w:val="237B661E"/>
    <w:rsid w:val="238B4E5F"/>
    <w:rsid w:val="23BF50C8"/>
    <w:rsid w:val="23CC07DA"/>
    <w:rsid w:val="242D644E"/>
    <w:rsid w:val="243E6F41"/>
    <w:rsid w:val="247C7073"/>
    <w:rsid w:val="2496308D"/>
    <w:rsid w:val="24A9374C"/>
    <w:rsid w:val="252379DD"/>
    <w:rsid w:val="2589209A"/>
    <w:rsid w:val="25B40CD0"/>
    <w:rsid w:val="25C05710"/>
    <w:rsid w:val="25CB1E8B"/>
    <w:rsid w:val="25F3676D"/>
    <w:rsid w:val="261B4E8D"/>
    <w:rsid w:val="26633241"/>
    <w:rsid w:val="267F12E4"/>
    <w:rsid w:val="27025876"/>
    <w:rsid w:val="274761A1"/>
    <w:rsid w:val="27937EDA"/>
    <w:rsid w:val="27CF60B0"/>
    <w:rsid w:val="27E234BC"/>
    <w:rsid w:val="28012C6B"/>
    <w:rsid w:val="280475E2"/>
    <w:rsid w:val="285B7C69"/>
    <w:rsid w:val="28B0150E"/>
    <w:rsid w:val="299A1AD2"/>
    <w:rsid w:val="29B80978"/>
    <w:rsid w:val="29D17C38"/>
    <w:rsid w:val="29DA1C97"/>
    <w:rsid w:val="29F11E79"/>
    <w:rsid w:val="2A1F1303"/>
    <w:rsid w:val="2A7B7273"/>
    <w:rsid w:val="2AAB2012"/>
    <w:rsid w:val="2AC0562D"/>
    <w:rsid w:val="2AC11AAE"/>
    <w:rsid w:val="2AE84D10"/>
    <w:rsid w:val="2B4658AA"/>
    <w:rsid w:val="2B8E1B57"/>
    <w:rsid w:val="2B8E71EA"/>
    <w:rsid w:val="2BA705F6"/>
    <w:rsid w:val="2BE04E2E"/>
    <w:rsid w:val="2C31119D"/>
    <w:rsid w:val="2C3328C4"/>
    <w:rsid w:val="2C5548F9"/>
    <w:rsid w:val="2CA22535"/>
    <w:rsid w:val="2D2B1461"/>
    <w:rsid w:val="2D797C76"/>
    <w:rsid w:val="2E12514F"/>
    <w:rsid w:val="2E351771"/>
    <w:rsid w:val="2EF7551C"/>
    <w:rsid w:val="2F210D6D"/>
    <w:rsid w:val="2F8E0962"/>
    <w:rsid w:val="2FA30B14"/>
    <w:rsid w:val="2FBD5AB0"/>
    <w:rsid w:val="30071591"/>
    <w:rsid w:val="30243F4A"/>
    <w:rsid w:val="305C52E4"/>
    <w:rsid w:val="30924D48"/>
    <w:rsid w:val="30985912"/>
    <w:rsid w:val="30E60CDF"/>
    <w:rsid w:val="312B136C"/>
    <w:rsid w:val="316D3EFB"/>
    <w:rsid w:val="31771119"/>
    <w:rsid w:val="31CE1FAB"/>
    <w:rsid w:val="31F46862"/>
    <w:rsid w:val="322E5C7B"/>
    <w:rsid w:val="32306ABA"/>
    <w:rsid w:val="32492609"/>
    <w:rsid w:val="328F6057"/>
    <w:rsid w:val="32A75EF3"/>
    <w:rsid w:val="32AE7831"/>
    <w:rsid w:val="33354A43"/>
    <w:rsid w:val="33413E8A"/>
    <w:rsid w:val="335E264F"/>
    <w:rsid w:val="338059AD"/>
    <w:rsid w:val="33F1490B"/>
    <w:rsid w:val="345B10E7"/>
    <w:rsid w:val="347C5E46"/>
    <w:rsid w:val="348E2E64"/>
    <w:rsid w:val="34E06E39"/>
    <w:rsid w:val="352C0C5B"/>
    <w:rsid w:val="35B058C7"/>
    <w:rsid w:val="35F871FB"/>
    <w:rsid w:val="35FC498E"/>
    <w:rsid w:val="36417C8D"/>
    <w:rsid w:val="366436B8"/>
    <w:rsid w:val="36886515"/>
    <w:rsid w:val="368B1D4A"/>
    <w:rsid w:val="369F3C73"/>
    <w:rsid w:val="36F2393C"/>
    <w:rsid w:val="3768338E"/>
    <w:rsid w:val="37945B49"/>
    <w:rsid w:val="379D3B99"/>
    <w:rsid w:val="37ED7F2D"/>
    <w:rsid w:val="38227768"/>
    <w:rsid w:val="38A94FE7"/>
    <w:rsid w:val="38DE0F29"/>
    <w:rsid w:val="39137A71"/>
    <w:rsid w:val="39300BC2"/>
    <w:rsid w:val="39390772"/>
    <w:rsid w:val="3955569C"/>
    <w:rsid w:val="39657C8F"/>
    <w:rsid w:val="3969383E"/>
    <w:rsid w:val="3A4967DD"/>
    <w:rsid w:val="3A5116BA"/>
    <w:rsid w:val="3A87079F"/>
    <w:rsid w:val="3A8C3BAF"/>
    <w:rsid w:val="3AD63889"/>
    <w:rsid w:val="3B293E28"/>
    <w:rsid w:val="3B2F7891"/>
    <w:rsid w:val="3B603F9A"/>
    <w:rsid w:val="3C1E5B01"/>
    <w:rsid w:val="3C333506"/>
    <w:rsid w:val="3C656913"/>
    <w:rsid w:val="3C94066E"/>
    <w:rsid w:val="3CFE624A"/>
    <w:rsid w:val="3D1251D3"/>
    <w:rsid w:val="3D254755"/>
    <w:rsid w:val="3D470E27"/>
    <w:rsid w:val="3D475A63"/>
    <w:rsid w:val="3D5440BC"/>
    <w:rsid w:val="3E447FF5"/>
    <w:rsid w:val="3F1539A0"/>
    <w:rsid w:val="3F1E4982"/>
    <w:rsid w:val="3F6B06C4"/>
    <w:rsid w:val="3FEE6A4A"/>
    <w:rsid w:val="401F30A7"/>
    <w:rsid w:val="40831E81"/>
    <w:rsid w:val="408C76E2"/>
    <w:rsid w:val="409057BD"/>
    <w:rsid w:val="410D2280"/>
    <w:rsid w:val="41186225"/>
    <w:rsid w:val="416F5968"/>
    <w:rsid w:val="41803BF5"/>
    <w:rsid w:val="418324AC"/>
    <w:rsid w:val="41A04200"/>
    <w:rsid w:val="41A32F85"/>
    <w:rsid w:val="41D2372A"/>
    <w:rsid w:val="42203971"/>
    <w:rsid w:val="42257F84"/>
    <w:rsid w:val="422D3D55"/>
    <w:rsid w:val="42680DF6"/>
    <w:rsid w:val="42BF0693"/>
    <w:rsid w:val="42DC0DDB"/>
    <w:rsid w:val="43434628"/>
    <w:rsid w:val="43482915"/>
    <w:rsid w:val="4351032C"/>
    <w:rsid w:val="4355293C"/>
    <w:rsid w:val="437E56C2"/>
    <w:rsid w:val="439439C5"/>
    <w:rsid w:val="43BF70AF"/>
    <w:rsid w:val="44236751"/>
    <w:rsid w:val="448C78B8"/>
    <w:rsid w:val="44CB1108"/>
    <w:rsid w:val="453F611C"/>
    <w:rsid w:val="45C94E39"/>
    <w:rsid w:val="45D568DB"/>
    <w:rsid w:val="45E64357"/>
    <w:rsid w:val="46196E13"/>
    <w:rsid w:val="46495A0E"/>
    <w:rsid w:val="464B079B"/>
    <w:rsid w:val="468077A8"/>
    <w:rsid w:val="468E6ECD"/>
    <w:rsid w:val="46EA56DB"/>
    <w:rsid w:val="476C6251"/>
    <w:rsid w:val="479C322F"/>
    <w:rsid w:val="47A978DA"/>
    <w:rsid w:val="48037F6C"/>
    <w:rsid w:val="480C6C1B"/>
    <w:rsid w:val="4815707A"/>
    <w:rsid w:val="48295411"/>
    <w:rsid w:val="48B268BC"/>
    <w:rsid w:val="48D21A79"/>
    <w:rsid w:val="48DF13FB"/>
    <w:rsid w:val="493B7D23"/>
    <w:rsid w:val="49545F4C"/>
    <w:rsid w:val="4969259E"/>
    <w:rsid w:val="497038CD"/>
    <w:rsid w:val="49730A66"/>
    <w:rsid w:val="499A66C3"/>
    <w:rsid w:val="49AC538B"/>
    <w:rsid w:val="4AC46FB1"/>
    <w:rsid w:val="4B2451E8"/>
    <w:rsid w:val="4B4A24A6"/>
    <w:rsid w:val="4BF27690"/>
    <w:rsid w:val="4C204881"/>
    <w:rsid w:val="4C775DE6"/>
    <w:rsid w:val="4C82133E"/>
    <w:rsid w:val="4D13604C"/>
    <w:rsid w:val="4DA80E22"/>
    <w:rsid w:val="4DBF0043"/>
    <w:rsid w:val="4DE92DD7"/>
    <w:rsid w:val="4DFE7BC4"/>
    <w:rsid w:val="4E0062C6"/>
    <w:rsid w:val="4E6B6CEB"/>
    <w:rsid w:val="4EAD5D22"/>
    <w:rsid w:val="4F7714C8"/>
    <w:rsid w:val="4F8D5360"/>
    <w:rsid w:val="4FA265C1"/>
    <w:rsid w:val="4FAF2ACB"/>
    <w:rsid w:val="503B5A8A"/>
    <w:rsid w:val="505852F6"/>
    <w:rsid w:val="507E72C1"/>
    <w:rsid w:val="508235A6"/>
    <w:rsid w:val="50DE33C7"/>
    <w:rsid w:val="512F6EC2"/>
    <w:rsid w:val="513242BC"/>
    <w:rsid w:val="513403C7"/>
    <w:rsid w:val="518B38CB"/>
    <w:rsid w:val="51E51CC3"/>
    <w:rsid w:val="529A77A5"/>
    <w:rsid w:val="53396CC8"/>
    <w:rsid w:val="536C4A8A"/>
    <w:rsid w:val="53C90F08"/>
    <w:rsid w:val="53ED6794"/>
    <w:rsid w:val="542657F3"/>
    <w:rsid w:val="542A50A2"/>
    <w:rsid w:val="542D5399"/>
    <w:rsid w:val="54606FA2"/>
    <w:rsid w:val="54E4321F"/>
    <w:rsid w:val="557E6ADC"/>
    <w:rsid w:val="559230BD"/>
    <w:rsid w:val="55E305E8"/>
    <w:rsid w:val="55E6015C"/>
    <w:rsid w:val="55E907A3"/>
    <w:rsid w:val="56325307"/>
    <w:rsid w:val="5659474A"/>
    <w:rsid w:val="56732B47"/>
    <w:rsid w:val="5733660F"/>
    <w:rsid w:val="57463334"/>
    <w:rsid w:val="578B6597"/>
    <w:rsid w:val="57942C39"/>
    <w:rsid w:val="57A8196A"/>
    <w:rsid w:val="5845276D"/>
    <w:rsid w:val="586947A8"/>
    <w:rsid w:val="58BD4EAA"/>
    <w:rsid w:val="58DA20C8"/>
    <w:rsid w:val="58FE6BB9"/>
    <w:rsid w:val="592E0C31"/>
    <w:rsid w:val="593259F3"/>
    <w:rsid w:val="59B64E5B"/>
    <w:rsid w:val="59C41AA5"/>
    <w:rsid w:val="5A487012"/>
    <w:rsid w:val="5A5A695B"/>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694146"/>
    <w:rsid w:val="608B4D11"/>
    <w:rsid w:val="60E930B4"/>
    <w:rsid w:val="61034DA8"/>
    <w:rsid w:val="61391E0A"/>
    <w:rsid w:val="61716ECA"/>
    <w:rsid w:val="61775743"/>
    <w:rsid w:val="61E151CE"/>
    <w:rsid w:val="61EC3C39"/>
    <w:rsid w:val="62093EA3"/>
    <w:rsid w:val="6229181C"/>
    <w:rsid w:val="62772330"/>
    <w:rsid w:val="62F96812"/>
    <w:rsid w:val="634B6B7B"/>
    <w:rsid w:val="64383FFB"/>
    <w:rsid w:val="64DD3A5E"/>
    <w:rsid w:val="651A5C4B"/>
    <w:rsid w:val="652C53ED"/>
    <w:rsid w:val="653116C9"/>
    <w:rsid w:val="653A164C"/>
    <w:rsid w:val="65B31BCC"/>
    <w:rsid w:val="65B87A10"/>
    <w:rsid w:val="65D35C16"/>
    <w:rsid w:val="66241202"/>
    <w:rsid w:val="666879C6"/>
    <w:rsid w:val="67B71CB2"/>
    <w:rsid w:val="67FB1FF0"/>
    <w:rsid w:val="68031777"/>
    <w:rsid w:val="682233F5"/>
    <w:rsid w:val="68353249"/>
    <w:rsid w:val="684319C5"/>
    <w:rsid w:val="68767A40"/>
    <w:rsid w:val="68897795"/>
    <w:rsid w:val="68C11D22"/>
    <w:rsid w:val="68D575AA"/>
    <w:rsid w:val="68E52B08"/>
    <w:rsid w:val="68F0116E"/>
    <w:rsid w:val="68F73295"/>
    <w:rsid w:val="69085BD7"/>
    <w:rsid w:val="69F50851"/>
    <w:rsid w:val="6A9407E1"/>
    <w:rsid w:val="6B477EF6"/>
    <w:rsid w:val="6B513865"/>
    <w:rsid w:val="6B9A256C"/>
    <w:rsid w:val="6BA373FF"/>
    <w:rsid w:val="6BEB1E5F"/>
    <w:rsid w:val="6C4957FC"/>
    <w:rsid w:val="6C5534FB"/>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13779A1"/>
    <w:rsid w:val="715168D7"/>
    <w:rsid w:val="71ED5287"/>
    <w:rsid w:val="71FE5EAA"/>
    <w:rsid w:val="724E26A6"/>
    <w:rsid w:val="727035A7"/>
    <w:rsid w:val="72BA2638"/>
    <w:rsid w:val="72E24278"/>
    <w:rsid w:val="72F247EE"/>
    <w:rsid w:val="73046E24"/>
    <w:rsid w:val="73117CBC"/>
    <w:rsid w:val="731D3DC6"/>
    <w:rsid w:val="73785811"/>
    <w:rsid w:val="73843B37"/>
    <w:rsid w:val="73AA2AB8"/>
    <w:rsid w:val="7448595E"/>
    <w:rsid w:val="74936C9D"/>
    <w:rsid w:val="74A25915"/>
    <w:rsid w:val="750000AA"/>
    <w:rsid w:val="750A7ABF"/>
    <w:rsid w:val="753235FD"/>
    <w:rsid w:val="75706FDE"/>
    <w:rsid w:val="759077E6"/>
    <w:rsid w:val="75940C8C"/>
    <w:rsid w:val="75BB2BFD"/>
    <w:rsid w:val="75BC7EFC"/>
    <w:rsid w:val="75C940ED"/>
    <w:rsid w:val="76AC7129"/>
    <w:rsid w:val="76D15FF3"/>
    <w:rsid w:val="77281E9E"/>
    <w:rsid w:val="773C2D8E"/>
    <w:rsid w:val="77550A67"/>
    <w:rsid w:val="77B83BB6"/>
    <w:rsid w:val="77BA2D12"/>
    <w:rsid w:val="7856695F"/>
    <w:rsid w:val="7866427B"/>
    <w:rsid w:val="78812401"/>
    <w:rsid w:val="78F732D8"/>
    <w:rsid w:val="790F1791"/>
    <w:rsid w:val="791F3849"/>
    <w:rsid w:val="7961798B"/>
    <w:rsid w:val="797350BA"/>
    <w:rsid w:val="79751FE8"/>
    <w:rsid w:val="79775EC9"/>
    <w:rsid w:val="79EE2754"/>
    <w:rsid w:val="7A1F0A71"/>
    <w:rsid w:val="7A37206F"/>
    <w:rsid w:val="7A741385"/>
    <w:rsid w:val="7A7E5483"/>
    <w:rsid w:val="7AAF231C"/>
    <w:rsid w:val="7AC84743"/>
    <w:rsid w:val="7B2F1AD6"/>
    <w:rsid w:val="7B3A1AA6"/>
    <w:rsid w:val="7B7027FC"/>
    <w:rsid w:val="7B740622"/>
    <w:rsid w:val="7B994BC5"/>
    <w:rsid w:val="7BE145C1"/>
    <w:rsid w:val="7C152DD9"/>
    <w:rsid w:val="7C520931"/>
    <w:rsid w:val="7C831CEC"/>
    <w:rsid w:val="7CC24675"/>
    <w:rsid w:val="7CF26FE4"/>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2022-02-07T01:23:37Z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