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2023年PX、PTA土壤、</w:t>
      </w:r>
      <w:r>
        <w:rPr>
          <w:rFonts w:hint="eastAsia" w:asciiTheme="minorEastAsia" w:hAnsiTheme="minorEastAsia" w:eastAsiaTheme="minorEastAsia"/>
          <w:b/>
          <w:bCs/>
          <w:sz w:val="44"/>
          <w:szCs w:val="44"/>
          <w:lang w:val="en-US" w:eastAsia="zh-CN"/>
        </w:rPr>
        <w:t>地下水</w:t>
      </w:r>
      <w:r>
        <w:rPr>
          <w:rFonts w:hint="eastAsia" w:asciiTheme="minorEastAsia" w:hAnsiTheme="minorEastAsia" w:eastAsiaTheme="minorEastAsia"/>
          <w:b/>
          <w:bCs/>
          <w:sz w:val="44"/>
          <w:szCs w:val="44"/>
          <w:lang w:eastAsia="zh-CN"/>
        </w:rPr>
        <w:t>环境检测服务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“2023年PX、PTA土壤、</w:t>
      </w:r>
      <w:r>
        <w:rPr>
          <w:rFonts w:hint="eastAsia" w:asciiTheme="minorEastAsia" w:hAnsiTheme="minorEastAsia" w:eastAsiaTheme="minorEastAsia"/>
          <w:sz w:val="24"/>
          <w:szCs w:val="24"/>
          <w:lang w:val="en-US" w:eastAsia="zh-CN"/>
        </w:rPr>
        <w:t>地下水</w:t>
      </w:r>
      <w:r>
        <w:rPr>
          <w:rFonts w:hint="eastAsia" w:asciiTheme="minorEastAsia" w:hAnsiTheme="minorEastAsia" w:eastAsiaTheme="minorEastAsia"/>
          <w:sz w:val="24"/>
          <w:szCs w:val="24"/>
          <w:lang w:eastAsia="zh-CN"/>
        </w:rPr>
        <w:t>环境检测服务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标段1: </w:t>
      </w:r>
      <w:r>
        <w:rPr>
          <w:bCs/>
          <w:sz w:val="24"/>
          <w:szCs w:val="24"/>
          <w:lang w:eastAsia="zh-CN"/>
        </w:rPr>
        <w:t>160</w:t>
      </w:r>
      <w:r>
        <w:rPr>
          <w:rFonts w:hint="eastAsia"/>
          <w:bCs/>
          <w:sz w:val="24"/>
          <w:szCs w:val="24"/>
          <w:lang w:eastAsia="zh-CN"/>
        </w:rPr>
        <w:t>万吨/年对二甲苯</w:t>
      </w:r>
      <w:r>
        <w:rPr>
          <w:bCs/>
          <w:sz w:val="24"/>
          <w:szCs w:val="24"/>
          <w:lang w:eastAsia="zh-CN"/>
        </w:rPr>
        <w:t>项目</w:t>
      </w:r>
      <w:r>
        <w:rPr>
          <w:rFonts w:hint="eastAsia" w:asciiTheme="minorEastAsia" w:hAnsiTheme="minorEastAsia" w:eastAsiaTheme="minorEastAsia"/>
          <w:sz w:val="24"/>
          <w:szCs w:val="24"/>
          <w:lang w:eastAsia="zh-CN"/>
        </w:rPr>
        <w:t>土壤环境、地下水检测服务。</w:t>
      </w:r>
    </w:p>
    <w:p>
      <w:pPr>
        <w:keepNext w:val="0"/>
        <w:keepLines w:val="0"/>
        <w:pageBreakBefore w:val="0"/>
        <w:widowControl w:val="0"/>
        <w:kinsoku/>
        <w:wordWrap/>
        <w:overflowPunct/>
        <w:topLinePunct w:val="0"/>
        <w:bidi w:val="0"/>
        <w:spacing w:line="360" w:lineRule="auto"/>
        <w:ind w:left="0" w:leftChars="0" w:firstLine="480" w:firstLineChars="200"/>
        <w:rPr>
          <w:bCs/>
          <w:sz w:val="24"/>
          <w:szCs w:val="24"/>
          <w:lang w:eastAsia="zh-CN"/>
        </w:rPr>
      </w:pPr>
      <w:r>
        <w:rPr>
          <w:rFonts w:hint="eastAsia" w:asciiTheme="minorEastAsia" w:hAnsiTheme="minorEastAsia" w:eastAsiaTheme="minorEastAsia"/>
          <w:bCs/>
          <w:sz w:val="24"/>
          <w:szCs w:val="24"/>
          <w:lang w:eastAsia="zh-CN"/>
        </w:rPr>
        <w:t>标段2：</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土壤环境、地下水</w:t>
      </w:r>
      <w:r>
        <w:rPr>
          <w:rFonts w:hint="eastAsia" w:asciiTheme="minorEastAsia" w:hAnsiTheme="minorEastAsia" w:eastAsiaTheme="minorEastAsia"/>
          <w:sz w:val="24"/>
          <w:szCs w:val="24"/>
          <w:lang w:val="en-US" w:eastAsia="zh-CN"/>
        </w:rPr>
        <w:t>环境</w:t>
      </w:r>
      <w:r>
        <w:rPr>
          <w:rFonts w:hint="eastAsia" w:asciiTheme="minorEastAsia" w:hAnsiTheme="minorEastAsia" w:eastAsiaTheme="minorEastAsia"/>
          <w:sz w:val="24"/>
          <w:szCs w:val="24"/>
          <w:lang w:eastAsia="zh-CN"/>
        </w:rPr>
        <w:t>检测服务。</w:t>
      </w:r>
    </w:p>
    <w:p>
      <w:pPr>
        <w:pStyle w:val="2"/>
        <w:keepNext w:val="0"/>
        <w:keepLines w:val="0"/>
        <w:pageBreakBefore w:val="0"/>
        <w:widowControl w:val="0"/>
        <w:numPr>
          <w:ilvl w:val="0"/>
          <w:numId w:val="0"/>
        </w:numPr>
        <w:kinsoku/>
        <w:wordWrap/>
        <w:overflowPunct/>
        <w:topLinePunct w:val="0"/>
        <w:bidi w:val="0"/>
        <w:spacing w:line="360" w:lineRule="auto"/>
        <w:ind w:leftChars="200"/>
        <w:rPr>
          <w:rFonts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50</w:t>
      </w:r>
      <w:r>
        <w:rPr>
          <w:rFonts w:hint="eastAsia" w:asciiTheme="minorEastAsia" w:hAnsiTheme="minorEastAsia" w:eastAsiaTheme="minorEastAsia"/>
          <w:bCs/>
          <w:sz w:val="24"/>
          <w:szCs w:val="24"/>
        </w:rPr>
        <w:t>,000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pacing w:line="360" w:lineRule="auto"/>
        <w:ind w:left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3.合同期限：1年。</w:t>
      </w:r>
    </w:p>
    <w:p>
      <w:pPr>
        <w:pStyle w:val="2"/>
        <w:keepNext w:val="0"/>
        <w:keepLines w:val="0"/>
        <w:pageBreakBefore w:val="0"/>
        <w:widowControl w:val="0"/>
        <w:numPr>
          <w:ilvl w:val="0"/>
          <w:numId w:val="0"/>
        </w:numPr>
        <w:kinsoku/>
        <w:wordWrap/>
        <w:overflowPunct/>
        <w:topLinePunct w:val="0"/>
        <w:bidi w:val="0"/>
        <w:spacing w:line="360" w:lineRule="auto"/>
        <w:ind w:left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4.详细服务内容请详见附件项目明细说明书。</w:t>
      </w:r>
    </w:p>
    <w:p>
      <w:pPr>
        <w:pStyle w:val="2"/>
        <w:keepNext w:val="0"/>
        <w:keepLines w:val="0"/>
        <w:pageBreakBefore w:val="0"/>
        <w:widowControl w:val="0"/>
        <w:numPr>
          <w:ilvl w:val="0"/>
          <w:numId w:val="0"/>
        </w:numPr>
        <w:kinsoku/>
        <w:wordWrap/>
        <w:overflowPunct/>
        <w:topLinePunct w:val="0"/>
        <w:bidi w:val="0"/>
        <w:spacing w:line="360" w:lineRule="auto"/>
        <w:ind w:leftChars="20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1.参选人必须具备有效的企业法人营业执照。</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2.参选人没有失信黑名单记录（以最高院失信被执行人系统发布信息为准）。</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土壤检测按HJ1209-2021要求编制土壤、地下水检测技术服务报告，内容至少应包括：企业执行的自行监测方案描述；监测结果及分析，各监测指标选取的分析方法及检出限应在报告中明确；质量保证与质量控制；企业针对监测结果拟采取的主要措施。</w:t>
      </w:r>
    </w:p>
    <w:p>
      <w:pPr>
        <w:pStyle w:val="2"/>
        <w:keepNext w:val="0"/>
        <w:keepLines w:val="0"/>
        <w:pageBreakBefore w:val="0"/>
        <w:widowControl w:val="0"/>
        <w:kinsoku/>
        <w:wordWrap/>
        <w:overflowPunct/>
        <w:topLinePunct w:val="0"/>
        <w:bidi w:val="0"/>
        <w:snapToGrid/>
        <w:spacing w:line="360" w:lineRule="auto"/>
        <w:ind w:left="0" w:lef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val="en-US" w:eastAsia="zh-CN"/>
        </w:rPr>
        <w:t>2.</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（3）提供近两年土壤、地下水监测及土壤污染场地调查与评价相关业绩（加盖单位公章的扫描件）。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2022年12月29日12时止。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both"/>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keepNext w:val="0"/>
        <w:keepLines w:val="0"/>
        <w:pageBreakBefore w:val="0"/>
        <w:widowControl w:val="0"/>
        <w:tabs>
          <w:tab w:val="left" w:pos="1262"/>
        </w:tabs>
        <w:kinsoku/>
        <w:wordWrap/>
        <w:overflowPunct/>
        <w:topLinePunct w:val="0"/>
        <w:bidi w:val="0"/>
        <w:snapToGrid/>
        <w:spacing w:line="360" w:lineRule="auto"/>
        <w:ind w:left="0" w:leftChars="0" w:right="0" w:firstLine="562" w:firstLineChars="20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line="360" w:lineRule="auto"/>
        <w:ind w:left="0" w:leftChars="0" w:right="0" w:firstLine="458" w:firstLineChars="20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bCs/>
          <w:lang w:eastAsia="zh-CN"/>
        </w:rPr>
      </w:pPr>
      <w:r>
        <w:rPr>
          <w:rFonts w:hint="eastAsia"/>
          <w:lang w:eastAsia="zh-CN"/>
        </w:rPr>
        <w:t>1、项目</w:t>
      </w:r>
      <w:r>
        <w:rPr>
          <w:lang w:eastAsia="zh-CN"/>
        </w:rPr>
        <w:t>名称：</w:t>
      </w:r>
      <w:r>
        <w:rPr>
          <w:rFonts w:hint="eastAsia"/>
          <w:lang w:eastAsia="zh-CN"/>
        </w:rPr>
        <w:t>PX、PTA</w:t>
      </w:r>
      <w:r>
        <w:rPr>
          <w:rFonts w:hint="eastAsia" w:ascii="微软雅黑" w:hAnsi="微软雅黑" w:eastAsia="微软雅黑"/>
          <w:lang w:eastAsia="zh-CN"/>
        </w:rPr>
        <w:t>土壤环境检测服务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w:t>
      </w:r>
      <w:r>
        <w:rPr>
          <w:rFonts w:hint="eastAsia"/>
          <w:snapToGrid w:val="0"/>
          <w:lang w:eastAsia="zh-CN"/>
        </w:rPr>
        <w:t>采用包干形式，价格包括土壤采样费用、分析费用、报告编制、印刷费用及工作人员来往交通费、住宿费、伙食费等全过程中产生的费用。</w:t>
      </w:r>
    </w:p>
    <w:p>
      <w:pPr>
        <w:keepNext w:val="0"/>
        <w:keepLines w:val="0"/>
        <w:pageBreakBefore w:val="0"/>
        <w:widowControl w:val="0"/>
        <w:kinsoku/>
        <w:wordWrap/>
        <w:overflowPunct/>
        <w:topLinePunct w:val="0"/>
        <w:bidi w:val="0"/>
        <w:snapToGrid/>
        <w:spacing w:line="360" w:lineRule="auto"/>
        <w:ind w:left="0" w:leftChars="0" w:right="0" w:firstLine="440" w:firstLineChars="20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详见附件</w:t>
      </w:r>
      <w:r>
        <w:rPr>
          <w:rFonts w:hint="eastAsia"/>
          <w:sz w:val="24"/>
          <w:szCs w:val="24"/>
          <w:lang w:eastAsia="zh-CN"/>
        </w:rPr>
        <w:t>土壤环境检测服务</w:t>
      </w:r>
      <w:r>
        <w:rPr>
          <w:rFonts w:hint="eastAsia"/>
          <w:snapToGrid w:val="0"/>
          <w:sz w:val="24"/>
          <w:szCs w:val="24"/>
          <w:lang w:eastAsia="zh-CN"/>
        </w:rPr>
        <w:t>招标说明书</w:t>
      </w:r>
      <w:r>
        <w:rPr>
          <w:rFonts w:hint="eastAsia" w:asciiTheme="minorEastAsia" w:hAnsiTheme="minorEastAsia" w:eastAsiaTheme="minorEastAsia"/>
          <w:snapToGrid w:val="0"/>
          <w:sz w:val="24"/>
          <w:szCs w:val="24"/>
          <w:lang w:eastAsia="zh-CN"/>
        </w:rPr>
        <w:t>。</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w:t>
      </w:r>
      <w:r>
        <w:rPr>
          <w:rFonts w:hint="eastAsia"/>
          <w:lang w:eastAsia="zh-CN"/>
        </w:rPr>
        <w:t>、</w:t>
      </w:r>
      <w:r>
        <w:rPr>
          <w:lang w:eastAsia="zh-CN"/>
        </w:rPr>
        <w:t>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8" w:firstLineChars="200"/>
        <w:textAlignment w:val="auto"/>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left="0" w:leftChars="0" w:right="0" w:firstLine="458" w:firstLineChars="200"/>
        <w:jc w:val="both"/>
        <w:rPr>
          <w:b/>
          <w:w w:val="95"/>
          <w:lang w:eastAsia="zh-CN"/>
        </w:rPr>
      </w:pPr>
      <w:r>
        <w:rPr>
          <w:b/>
          <w:w w:val="95"/>
          <w:lang w:eastAsia="zh-CN"/>
        </w:rPr>
        <w:t>六、参选人资格</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1.参选人必须具备有效的企业法人营业执照。</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2.参选人没有失信黑名单记录（以最高院失信被执行人系统发布信息为准）。</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土壤检测按HJ1209-2021要求编制土壤、地下水检测技术服务报告，内容至少应包括：企业执行的自行监测方案描述；监测结果及分析，各监测指标选取的分析方法及检出限应在报告中明确；质量保证与质量控制；企业针对监测结果拟采取的主要措施。</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七、参选保证金</w:t>
      </w:r>
    </w:p>
    <w:p>
      <w:pPr>
        <w:pStyle w:val="2"/>
        <w:keepNext w:val="0"/>
        <w:keepLines w:val="0"/>
        <w:pageBreakBefore w:val="0"/>
        <w:widowControl w:val="0"/>
        <w:kinsoku/>
        <w:wordWrap/>
        <w:overflowPunct/>
        <w:topLinePunct w:val="0"/>
        <w:bidi w:val="0"/>
        <w:snapToGrid/>
        <w:spacing w:line="360" w:lineRule="auto"/>
        <w:ind w:left="0" w:leftChars="0" w:right="0" w:firstLine="680" w:firstLineChars="200"/>
        <w:rPr>
          <w:sz w:val="24"/>
          <w:szCs w:val="24"/>
        </w:rPr>
      </w:pPr>
      <w:r>
        <w:rPr>
          <w:rFonts w:hint="eastAsia"/>
        </w:rPr>
        <w:t xml:space="preserve"> </w:t>
      </w:r>
      <w:r>
        <w:rPr>
          <w:rFonts w:hint="eastAsia"/>
          <w:lang w:val="en-US" w:eastAsia="zh-CN"/>
        </w:rPr>
        <w:t xml:space="preserve">  </w:t>
      </w:r>
      <w:r>
        <w:rPr>
          <w:rFonts w:hint="eastAsia"/>
          <w:sz w:val="24"/>
          <w:szCs w:val="24"/>
        </w:rPr>
        <w:t>无</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12</w:t>
      </w:r>
      <w:r>
        <w:rPr>
          <w:rFonts w:hint="eastAsia"/>
          <w:color w:val="000000" w:themeColor="text1"/>
          <w:lang w:eastAsia="zh-CN"/>
        </w:rPr>
        <w:t>月</w:t>
      </w:r>
      <w:r>
        <w:rPr>
          <w:rFonts w:hint="eastAsia"/>
          <w:color w:val="000000" w:themeColor="text1"/>
          <w:lang w:val="en-US" w:eastAsia="zh-CN"/>
        </w:rPr>
        <w:t>29</w:t>
      </w:r>
      <w:bookmarkStart w:id="1" w:name="_GoBack"/>
      <w:bookmarkEnd w:id="1"/>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时00分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 xml:space="preserve"> 。</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400" w:lineRule="exact"/>
        <w:jc w:val="center"/>
        <w:rPr>
          <w:b/>
          <w:color w:val="000000"/>
          <w:sz w:val="36"/>
          <w:szCs w:val="36"/>
          <w:lang w:eastAsia="zh-CN"/>
        </w:rPr>
      </w:pPr>
      <w:r>
        <w:rPr>
          <w:rFonts w:hint="eastAsia" w:asciiTheme="minorEastAsia" w:hAnsiTheme="minorEastAsia" w:eastAsiaTheme="minorEastAsia"/>
          <w:b/>
          <w:sz w:val="36"/>
          <w:szCs w:val="36"/>
          <w:lang w:eastAsia="zh-CN"/>
        </w:rPr>
        <w:t>PX、PTA厂区土壤环境检测年约</w:t>
      </w:r>
      <w:r>
        <w:rPr>
          <w:rFonts w:hint="eastAsia"/>
          <w:b/>
          <w:color w:val="000000"/>
          <w:sz w:val="36"/>
          <w:szCs w:val="36"/>
          <w:lang w:eastAsia="zh-CN"/>
        </w:rPr>
        <w:t xml:space="preserve">合同 </w:t>
      </w:r>
    </w:p>
    <w:p>
      <w:pPr>
        <w:spacing w:line="400" w:lineRule="exact"/>
        <w:jc w:val="center"/>
        <w:rPr>
          <w:b/>
          <w:color w:val="000000"/>
          <w:sz w:val="24"/>
          <w:lang w:eastAsia="zh-CN"/>
        </w:rPr>
      </w:pPr>
      <w:r>
        <w:rPr>
          <w:rFonts w:hint="eastAsia"/>
          <w:b/>
          <w:color w:val="000000"/>
          <w:sz w:val="24"/>
          <w:lang w:eastAsia="zh-CN"/>
        </w:rPr>
        <w:t xml:space="preserve">                   合同编号：</w:t>
      </w:r>
    </w:p>
    <w:p>
      <w:pPr>
        <w:spacing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spacing w:line="500" w:lineRule="exact"/>
        <w:ind w:firstLine="720" w:firstLine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500" w:lineRule="exact"/>
        <w:rPr>
          <w:rStyle w:val="82"/>
          <w:rFonts w:asciiTheme="minorEastAsia" w:hAnsiTheme="minorEastAsia" w:eastAsiaTheme="minorEastAsia"/>
          <w:color w:val="000000"/>
          <w:lang w:eastAsia="zh-CN"/>
        </w:rPr>
      </w:pPr>
      <w:r>
        <w:rPr>
          <w:rFonts w:hint="eastAsia" w:asciiTheme="minorEastAsia" w:hAnsiTheme="minorEastAsia" w:eastAsiaTheme="minorEastAsia"/>
          <w:color w:val="000000" w:themeColor="text1"/>
          <w:sz w:val="24"/>
          <w:szCs w:val="24"/>
          <w:lang w:eastAsia="zh-CN"/>
        </w:rPr>
        <w:t>乙方：</w:t>
      </w: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pStyle w:val="74"/>
        <w:numPr>
          <w:ilvl w:val="0"/>
          <w:numId w:val="6"/>
        </w:numPr>
        <w:spacing w:before="0"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委托检测项目：</w:t>
      </w:r>
    </w:p>
    <w:p>
      <w:pPr>
        <w:spacing w:line="500" w:lineRule="exact"/>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二、检测方法</w:t>
      </w:r>
      <w:r>
        <w:rPr>
          <w:rFonts w:asciiTheme="minorEastAsia" w:hAnsiTheme="minorEastAsia" w:eastAsiaTheme="minorEastAsia"/>
          <w:color w:val="000000"/>
          <w:sz w:val="24"/>
          <w:szCs w:val="24"/>
          <w:lang w:eastAsia="zh-CN"/>
        </w:rPr>
        <w:t xml:space="preserve">:  </w:t>
      </w:r>
      <w:r>
        <w:rPr>
          <w:color w:val="111111"/>
          <w:sz w:val="24"/>
          <w:szCs w:val="24"/>
          <w:lang w:eastAsia="zh-CN"/>
        </w:rPr>
        <w:t>按《土壤环境质量标准建设用地土壤污染风险管控标准》（GB 36600-2018）表3执行</w:t>
      </w:r>
      <w:r>
        <w:rPr>
          <w:rFonts w:hint="eastAsia" w:asciiTheme="minorEastAsia" w:hAnsiTheme="minorEastAsia" w:eastAsiaTheme="minorEastAsia"/>
          <w:color w:val="000000"/>
          <w:sz w:val="24"/>
          <w:szCs w:val="24"/>
          <w:lang w:eastAsia="zh-CN"/>
        </w:rPr>
        <w:t xml:space="preserve">         </w:t>
      </w:r>
    </w:p>
    <w:p>
      <w:pPr>
        <w:spacing w:line="500" w:lineRule="exact"/>
        <w:rPr>
          <w:rFonts w:asciiTheme="minorEastAsia" w:hAnsiTheme="minorEastAsia" w:eastAsiaTheme="minorEastAsia"/>
          <w:bCs/>
          <w:color w:val="000000"/>
          <w:sz w:val="24"/>
          <w:szCs w:val="24"/>
          <w:lang w:eastAsia="zh-CN"/>
        </w:rPr>
      </w:pPr>
      <w:r>
        <w:rPr>
          <w:rFonts w:hint="eastAsia" w:asciiTheme="minorEastAsia" w:hAnsiTheme="minorEastAsia" w:eastAsiaTheme="minorEastAsia"/>
          <w:color w:val="000000"/>
          <w:sz w:val="24"/>
          <w:szCs w:val="24"/>
          <w:lang w:eastAsia="zh-CN"/>
        </w:rPr>
        <w:t>三、检测实行标准：</w:t>
      </w:r>
      <w:r>
        <w:rPr>
          <w:rFonts w:hint="eastAsia" w:asciiTheme="minorEastAsia" w:hAnsiTheme="minorEastAsia" w:eastAsiaTheme="minorEastAsia"/>
          <w:bCs/>
          <w:color w:val="000000"/>
          <w:sz w:val="24"/>
          <w:szCs w:val="24"/>
          <w:lang w:eastAsia="zh-CN"/>
        </w:rPr>
        <w:t>土壤环境质量执行《土壤环境质量标准建设用地土壤污染风险管控标准》（GB 36600-2018）的第二类用地。</w:t>
      </w:r>
    </w:p>
    <w:tbl>
      <w:tblPr>
        <w:tblStyle w:val="47"/>
        <w:tblW w:w="9917"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04"/>
        <w:gridCol w:w="2184"/>
        <w:gridCol w:w="993"/>
        <w:gridCol w:w="113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9"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样品类别</w:t>
            </w:r>
          </w:p>
        </w:tc>
        <w:tc>
          <w:tcPr>
            <w:tcW w:w="1104"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采样区域</w:t>
            </w:r>
          </w:p>
        </w:tc>
        <w:tc>
          <w:tcPr>
            <w:tcW w:w="2184" w:type="dxa"/>
            <w:vAlign w:val="center"/>
          </w:tcPr>
          <w:p>
            <w:pPr>
              <w:spacing w:line="4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检测项目</w:t>
            </w:r>
          </w:p>
        </w:tc>
        <w:tc>
          <w:tcPr>
            <w:tcW w:w="993"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样点位</w:t>
            </w:r>
          </w:p>
        </w:tc>
        <w:tc>
          <w:tcPr>
            <w:tcW w:w="1134" w:type="dxa"/>
            <w:vAlign w:val="center"/>
          </w:tcPr>
          <w:p>
            <w:pPr>
              <w:spacing w:line="400" w:lineRule="exact"/>
              <w:ind w:left="378" w:hanging="378" w:hangingChars="209"/>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样品数量</w:t>
            </w:r>
          </w:p>
        </w:tc>
        <w:tc>
          <w:tcPr>
            <w:tcW w:w="1134"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检测费用/样（RMB</w:t>
            </w:r>
            <w:r>
              <w:rPr>
                <w:rFonts w:asciiTheme="minorEastAsia" w:hAnsiTheme="minorEastAsia" w:eastAsiaTheme="minorEastAsia"/>
                <w:b/>
                <w:bCs/>
                <w:sz w:val="18"/>
                <w:szCs w:val="18"/>
                <w:lang w:eastAsia="zh-CN"/>
              </w:rPr>
              <w:t>）</w:t>
            </w:r>
          </w:p>
        </w:tc>
        <w:tc>
          <w:tcPr>
            <w:tcW w:w="1134" w:type="dxa"/>
          </w:tcPr>
          <w:p>
            <w:pPr>
              <w:spacing w:line="4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采样费用/(RMB)</w:t>
            </w:r>
          </w:p>
        </w:tc>
        <w:tc>
          <w:tcPr>
            <w:tcW w:w="1275"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费用合计/样（RMB</w:t>
            </w:r>
            <w:r>
              <w:rPr>
                <w:rFonts w:asciiTheme="minorEastAsia" w:hAnsiTheme="minorEastAsia" w:eastAsiaTheme="minorEastAsia"/>
                <w:b/>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400" w:lineRule="exact"/>
              <w:rPr>
                <w:rFonts w:asciiTheme="minorEastAsia" w:hAnsiTheme="minorEastAsia" w:eastAsiaTheme="minorEastAsia"/>
                <w:color w:val="000000"/>
                <w:lang w:eastAsia="zh-CN"/>
              </w:rPr>
            </w:pPr>
          </w:p>
        </w:tc>
        <w:tc>
          <w:tcPr>
            <w:tcW w:w="1104" w:type="dxa"/>
            <w:vMerge w:val="restart"/>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color w:val="000000"/>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400" w:lineRule="exact"/>
              <w:rPr>
                <w:rFonts w:cs="Times New Roman" w:asciiTheme="minorEastAsia" w:hAnsiTheme="minorEastAsia" w:eastAsiaTheme="minorEastAsia"/>
                <w:color w:val="000000"/>
                <w:lang w:eastAsia="zh-CN"/>
              </w:rPr>
            </w:pPr>
          </w:p>
        </w:tc>
        <w:tc>
          <w:tcPr>
            <w:tcW w:w="1104" w:type="dxa"/>
            <w:vMerge w:val="continue"/>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gridSpan w:val="5"/>
            <w:vAlign w:val="center"/>
          </w:tcPr>
          <w:p>
            <w:pPr>
              <w:spacing w:line="400" w:lineRule="exact"/>
              <w:jc w:val="center"/>
              <w:rPr>
                <w:rFonts w:asciiTheme="minorEastAsia" w:hAnsiTheme="minorEastAsia" w:eastAsiaTheme="minorEastAsia"/>
                <w:b/>
                <w:bCs/>
                <w:lang w:eastAsia="zh-CN"/>
              </w:rPr>
            </w:pPr>
            <w:r>
              <w:rPr>
                <w:rFonts w:hint="eastAsia" w:asciiTheme="minorEastAsia" w:hAnsiTheme="minorEastAsia" w:eastAsiaTheme="minorEastAsia"/>
                <w:b/>
                <w:bCs/>
                <w:lang w:eastAsia="zh-CN"/>
              </w:rPr>
              <w:t>样品检测总费用（含采样费）/RMB(小写)</w:t>
            </w:r>
          </w:p>
        </w:tc>
        <w:tc>
          <w:tcPr>
            <w:tcW w:w="3543" w:type="dxa"/>
            <w:gridSpan w:val="3"/>
          </w:tcPr>
          <w:p>
            <w:pPr>
              <w:spacing w:line="400" w:lineRule="exact"/>
              <w:jc w:val="center"/>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（含  %增值税）</w:t>
            </w:r>
          </w:p>
        </w:tc>
      </w:tr>
    </w:tbl>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四、甲方的权利义务：</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1、甲方有权监督乙方的检测工作。</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2、甲方根据乙方检测的需要配合乙方检测工作，并提供相关资料。</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3、按约定支付检测费用。</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五、乙方的权利义务：</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napToGrid w:val="0"/>
          <w:sz w:val="24"/>
          <w:szCs w:val="24"/>
          <w:lang w:eastAsia="zh-CN"/>
        </w:rPr>
        <w:t>根据</w:t>
      </w:r>
      <w:r>
        <w:rPr>
          <w:rFonts w:hint="eastAsia" w:asciiTheme="minorEastAsia" w:hAnsiTheme="minorEastAsia" w:eastAsiaTheme="minorEastAsia"/>
          <w:bCs/>
          <w:color w:val="000000"/>
          <w:sz w:val="24"/>
          <w:szCs w:val="24"/>
          <w:lang w:eastAsia="zh-CN"/>
        </w:rPr>
        <w:t>土壤环境质量执行《土壤环境质量标准 建设用地土壤污染风险管控标准》（GB 36600-2018）的第二类用地</w:t>
      </w:r>
      <w:r>
        <w:rPr>
          <w:rFonts w:hint="eastAsia" w:asciiTheme="minorEastAsia" w:hAnsiTheme="minorEastAsia" w:eastAsiaTheme="minorEastAsia"/>
          <w:snapToGrid w:val="0"/>
          <w:sz w:val="24"/>
          <w:szCs w:val="24"/>
          <w:lang w:eastAsia="zh-CN"/>
        </w:rPr>
        <w:t>求确定采样点位及采样数量进行</w:t>
      </w:r>
      <w:r>
        <w:rPr>
          <w:rFonts w:hint="eastAsia" w:asciiTheme="minorEastAsia" w:hAnsiTheme="minorEastAsia" w:eastAsiaTheme="minorEastAsia"/>
          <w:sz w:val="24"/>
          <w:szCs w:val="24"/>
          <w:lang w:eastAsia="zh-CN"/>
        </w:rPr>
        <w:t>检测并出具检测报告。</w:t>
      </w:r>
      <w:r>
        <w:rPr>
          <w:rFonts w:hint="eastAsia" w:asciiTheme="minorEastAsia" w:hAnsiTheme="minorEastAsia" w:eastAsiaTheme="minorEastAsia"/>
          <w:snapToGrid w:val="0"/>
          <w:sz w:val="24"/>
          <w:szCs w:val="24"/>
          <w:lang w:eastAsia="zh-CN"/>
        </w:rPr>
        <w:t xml:space="preserve"> </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3、对检测过程中知悉的甲方的商业、技术、经营管理等保密信息承担保密责任。</w:t>
      </w:r>
    </w:p>
    <w:p>
      <w:pPr>
        <w:pStyle w:val="2"/>
        <w:keepNext w:val="0"/>
        <w:keepLines w:val="0"/>
        <w:pageBreakBefore w:val="0"/>
        <w:widowControl w:val="0"/>
        <w:kinsoku/>
        <w:wordWrap/>
        <w:overflowPunct/>
        <w:topLinePunct w:val="0"/>
        <w:bidi w:val="0"/>
        <w:spacing w:line="360" w:lineRule="auto"/>
        <w:ind w:left="0" w:leftChars="0" w:firstLine="480" w:firstLineChars="200"/>
        <w:rPr>
          <w:rFonts w:hint="default" w:eastAsia="宋体"/>
          <w:sz w:val="24"/>
          <w:szCs w:val="24"/>
          <w:lang w:val="en-US" w:eastAsia="zh-CN"/>
        </w:rPr>
      </w:pPr>
      <w:r>
        <w:rPr>
          <w:rFonts w:hint="eastAsia"/>
          <w:sz w:val="24"/>
          <w:szCs w:val="24"/>
        </w:rPr>
        <w:t>六、合同期限</w:t>
      </w:r>
      <w:r>
        <w:rPr>
          <w:rFonts w:hint="eastAsia"/>
          <w:sz w:val="24"/>
          <w:szCs w:val="24"/>
          <w:lang w:val="en-US" w:eastAsia="zh-CN"/>
        </w:rPr>
        <w:t>2023年  月  日至  月  日</w:t>
      </w:r>
    </w:p>
    <w:p>
      <w:pPr>
        <w:pStyle w:val="2"/>
        <w:keepNext w:val="0"/>
        <w:keepLines w:val="0"/>
        <w:pageBreakBefore w:val="0"/>
        <w:widowControl w:val="0"/>
        <w:kinsoku/>
        <w:wordWrap/>
        <w:overflowPunct/>
        <w:topLinePunct w:val="0"/>
        <w:bidi w:val="0"/>
        <w:spacing w:line="360" w:lineRule="auto"/>
        <w:ind w:left="0" w:leftChars="0" w:firstLine="480" w:firstLineChars="200"/>
        <w:rPr>
          <w:sz w:val="24"/>
          <w:szCs w:val="24"/>
        </w:rPr>
      </w:pPr>
      <w:r>
        <w:rPr>
          <w:rFonts w:hint="eastAsia"/>
          <w:sz w:val="24"/>
          <w:szCs w:val="24"/>
        </w:rPr>
        <w:t>七、检测时间：</w:t>
      </w:r>
      <w:r>
        <w:rPr>
          <w:rFonts w:hint="eastAsia" w:asciiTheme="minorEastAsia" w:hAnsiTheme="minorEastAsia" w:eastAsiaTheme="minorEastAsia"/>
          <w:color w:val="000000"/>
          <w:sz w:val="24"/>
          <w:szCs w:val="24"/>
        </w:rPr>
        <w:t>乙方接到甲方书面通知5个工作日内安排进场检测，30个工作日内提交正式的检测报告。</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元。（PX费用：PTA费用：）</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九、收费方式：收费方式：合同生效后,乙方检测完毕，出具电子版报告提交给甲方并经甲方验收合格后，3</w:t>
      </w:r>
      <w:r>
        <w:rPr>
          <w:rFonts w:asciiTheme="minorEastAsia" w:hAnsiTheme="minorEastAsia" w:eastAsiaTheme="minorEastAsia"/>
          <w:color w:val="000000"/>
          <w:sz w:val="24"/>
          <w:szCs w:val="24"/>
          <w:lang w:eastAsia="zh-CN"/>
        </w:rPr>
        <w:t>0</w:t>
      </w:r>
      <w:r>
        <w:rPr>
          <w:rFonts w:hint="eastAsia" w:asciiTheme="minorEastAsia" w:hAnsiTheme="minorEastAsia" w:eastAsiaTheme="minorEastAsia"/>
          <w:color w:val="000000"/>
          <w:sz w:val="24"/>
          <w:szCs w:val="24"/>
          <w:lang w:eastAsia="zh-CN"/>
        </w:rPr>
        <w:t>个工作日内支付100%检测费</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元（人民币大写： ）到乙方以下</w:t>
      </w:r>
      <w:r>
        <w:rPr>
          <w:rFonts w:hint="eastAsia" w:asciiTheme="minorEastAsia" w:hAnsiTheme="minorEastAsia" w:eastAsiaTheme="minorEastAsia"/>
          <w:color w:val="000000" w:themeColor="text1"/>
          <w:sz w:val="24"/>
          <w:szCs w:val="24"/>
          <w:lang w:eastAsia="zh-CN"/>
        </w:rPr>
        <w:t>账户：乙方在收到全款后应该</w:t>
      </w:r>
      <w:r>
        <w:rPr>
          <w:rFonts w:asciiTheme="minorEastAsia" w:hAnsiTheme="minorEastAsia" w:eastAsiaTheme="minorEastAsia"/>
          <w:color w:val="000000" w:themeColor="text1"/>
          <w:sz w:val="24"/>
          <w:szCs w:val="24"/>
          <w:lang w:eastAsia="zh-CN"/>
        </w:rPr>
        <w:t>3个工作日内寄出正式</w:t>
      </w:r>
      <w:r>
        <w:rPr>
          <w:rFonts w:hint="eastAsia" w:asciiTheme="minorEastAsia" w:hAnsiTheme="minorEastAsia" w:eastAsiaTheme="minorEastAsia"/>
          <w:color w:val="000000" w:themeColor="text1"/>
          <w:sz w:val="24"/>
          <w:szCs w:val="24"/>
          <w:lang w:eastAsia="zh-CN"/>
        </w:rPr>
        <w:t>版纸质</w:t>
      </w:r>
      <w:r>
        <w:rPr>
          <w:rFonts w:asciiTheme="minorEastAsia" w:hAnsiTheme="minorEastAsia" w:eastAsiaTheme="minorEastAsia"/>
          <w:color w:val="000000" w:themeColor="text1"/>
          <w:sz w:val="24"/>
          <w:szCs w:val="24"/>
          <w:lang w:eastAsia="zh-CN"/>
        </w:rPr>
        <w:t>报告。</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名称：</w:t>
      </w:r>
      <w:r>
        <w:rPr>
          <w:rFonts w:hint="eastAsia" w:asciiTheme="minorEastAsia" w:hAnsiTheme="minorEastAsia" w:eastAsiaTheme="minorEastAsia"/>
          <w:b/>
          <w:color w:val="000000" w:themeColor="text1"/>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账号:</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开户行：</w:t>
      </w:r>
      <w:r>
        <w:rPr>
          <w:rFonts w:hint="eastAsia" w:asciiTheme="minorEastAsia" w:hAnsiTheme="minorEastAsia" w:eastAsiaTheme="minorEastAsia"/>
          <w:b/>
          <w:color w:val="000000" w:themeColor="text1"/>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乙方在收到全款后应该3个工作日内寄出正式版纸质报告。</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 7日前提供合同全额的6%增值税专用发票，否则甲方有权顺延付款。（甲方根据</w:t>
      </w:r>
      <w:r>
        <w:rPr>
          <w:rFonts w:hint="eastAsia" w:asciiTheme="minorEastAsia" w:hAnsiTheme="minorEastAsia" w:eastAsiaTheme="minorEastAsia"/>
          <w:color w:val="000000"/>
          <w:sz w:val="24"/>
          <w:szCs w:val="24"/>
          <w:lang w:val="en-US" w:eastAsia="zh-CN"/>
        </w:rPr>
        <w:t>腾龙</w:t>
      </w:r>
      <w:r>
        <w:rPr>
          <w:rFonts w:hint="eastAsia" w:asciiTheme="minorEastAsia" w:hAnsiTheme="minorEastAsia" w:eastAsiaTheme="minorEastAsia"/>
          <w:color w:val="000000"/>
          <w:sz w:val="24"/>
          <w:szCs w:val="24"/>
          <w:lang w:eastAsia="zh-CN"/>
        </w:rPr>
        <w:t>芳烃、</w:t>
      </w:r>
      <w:r>
        <w:rPr>
          <w:rFonts w:hint="eastAsia" w:asciiTheme="minorEastAsia" w:hAnsiTheme="minorEastAsia" w:eastAsiaTheme="minorEastAsia"/>
          <w:color w:val="000000"/>
          <w:sz w:val="24"/>
          <w:szCs w:val="24"/>
          <w:lang w:val="en-US" w:eastAsia="zh-CN"/>
        </w:rPr>
        <w:t>翔鹭</w:t>
      </w:r>
      <w:r>
        <w:rPr>
          <w:rFonts w:hint="eastAsia" w:asciiTheme="minorEastAsia" w:hAnsiTheme="minorEastAsia" w:eastAsiaTheme="minorEastAsia"/>
          <w:color w:val="000000"/>
          <w:sz w:val="24"/>
          <w:szCs w:val="24"/>
          <w:lang w:eastAsia="zh-CN"/>
        </w:rPr>
        <w:t>石化实际发生检测数量付款，并由乙方分别开具发票至甲方）。</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十、违约责任：</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1、乙方逾期提交报告的，每日应向甲方支付违约金人民币 200 元，逾期超过 15 日的，甲方还有权解除本合同并要求乙方一次性支付合同总额20%的违约金。</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3、乙方违反保密义务，应向甲方支付违约金 1000 元，并赔偿由此给甲方造成的损失。</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十一、其他约定： </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1、在检测结果的实际运用中，如有证据证明乙方存在弄虚作假等违反本合同约定的情形，甲方仍有权要求乙方承担由此造成的损失和法律后果。</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变更前地址寄出的，仍然视为有效送达，地址变更方对此无异议。</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3、如乙方在甲方现场提供检测服务，应遵守甲方相关管理规定。检测过程中的安全责任由乙方自行承担。</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效送达的认定。如送达地址变更，变更方应第一时间通知另一方，否则，通知方按对方</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十二、本协议一式 五 份，双方签订后生效，甲方执 四 份，乙方执 一  份，具有同等法律效力。</w:t>
      </w:r>
    </w:p>
    <w:p>
      <w:pPr>
        <w:pStyle w:val="2"/>
      </w:pPr>
    </w:p>
    <w:p>
      <w:pPr>
        <w:spacing w:line="420" w:lineRule="exact"/>
        <w:rPr>
          <w:rFonts w:asciiTheme="minorEastAsia" w:hAnsiTheme="minorEastAsia" w:eastAsiaTheme="minorEastAsia"/>
          <w:color w:val="000000"/>
          <w:sz w:val="24"/>
          <w:szCs w:val="24"/>
          <w:lang w:eastAsia="zh-CN"/>
        </w:rPr>
      </w:pP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 xml:space="preserve"> </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pPr>
        <w:pStyle w:val="2"/>
        <w:spacing w:line="520" w:lineRule="exact"/>
        <w:rPr>
          <w:rFonts w:asciiTheme="minorEastAsia" w:hAnsiTheme="minorEastAsia" w:eastAsiaTheme="minorEastAsia"/>
          <w:sz w:val="24"/>
          <w:szCs w:val="24"/>
        </w:rPr>
      </w:pPr>
    </w:p>
    <w:p>
      <w:pPr>
        <w:rPr>
          <w:rFonts w:asciiTheme="minorEastAsia" w:hAnsiTheme="minorEastAsia" w:eastAsiaTheme="minorEastAsia"/>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2023年PX、PTA土壤环境检测服务</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asciiTheme="minorEastAsia" w:hAnsiTheme="minorEastAsia" w:eastAsiaTheme="minorEastAsia"/>
          <w:b/>
          <w:color w:val="000000"/>
          <w:sz w:val="28"/>
          <w:szCs w:val="28"/>
          <w:lang w:eastAsia="zh-CN"/>
        </w:rPr>
      </w:pPr>
      <w:r>
        <w:rPr>
          <w:rFonts w:hint="eastAsia"/>
          <w:b/>
          <w:bCs/>
          <w:sz w:val="36"/>
          <w:szCs w:val="36"/>
          <w:lang w:val="en-US" w:eastAsia="zh-CN"/>
        </w:rPr>
        <w:t>资质业绩证明文件</w:t>
      </w:r>
      <w:bookmarkEnd w:id="0"/>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heme="minorEastAsia" w:hAnsiTheme="minorEastAsia" w:eastAsiaTheme="minorEastAsia"/>
          <w:sz w:val="24"/>
          <w:szCs w:val="24"/>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3" o:spid="_x0000_s3083"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6A823D0"/>
    <w:multiLevelType w:val="multilevel"/>
    <w:tmpl w:val="56A823D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AE177FF"/>
    <w:rsid w:val="0B296DE2"/>
    <w:rsid w:val="10294AA3"/>
    <w:rsid w:val="10E40CA0"/>
    <w:rsid w:val="136130D9"/>
    <w:rsid w:val="18DD4F7E"/>
    <w:rsid w:val="195B58A2"/>
    <w:rsid w:val="1DB726A5"/>
    <w:rsid w:val="1E085A14"/>
    <w:rsid w:val="1FF43DDB"/>
    <w:rsid w:val="21933AA2"/>
    <w:rsid w:val="25BF356F"/>
    <w:rsid w:val="25DB0C2D"/>
    <w:rsid w:val="263E7234"/>
    <w:rsid w:val="269469E7"/>
    <w:rsid w:val="298F7D9A"/>
    <w:rsid w:val="29FC3B14"/>
    <w:rsid w:val="2B11792E"/>
    <w:rsid w:val="31C54755"/>
    <w:rsid w:val="3216608C"/>
    <w:rsid w:val="34CE14C6"/>
    <w:rsid w:val="34D84CEC"/>
    <w:rsid w:val="37AF5AB7"/>
    <w:rsid w:val="3B1C3371"/>
    <w:rsid w:val="3CC23198"/>
    <w:rsid w:val="3DDF4815"/>
    <w:rsid w:val="3FE669E5"/>
    <w:rsid w:val="44071D88"/>
    <w:rsid w:val="50F63E28"/>
    <w:rsid w:val="5221007F"/>
    <w:rsid w:val="52926B5A"/>
    <w:rsid w:val="545C5E51"/>
    <w:rsid w:val="5486175B"/>
    <w:rsid w:val="57667D24"/>
    <w:rsid w:val="57CE5BC3"/>
    <w:rsid w:val="5AE1516A"/>
    <w:rsid w:val="5B6A3A79"/>
    <w:rsid w:val="5C1A5F7B"/>
    <w:rsid w:val="645771F8"/>
    <w:rsid w:val="6A54112D"/>
    <w:rsid w:val="6AA035AE"/>
    <w:rsid w:val="6B285101"/>
    <w:rsid w:val="6E0F2E14"/>
    <w:rsid w:val="6F1E141D"/>
    <w:rsid w:val="6F5354F8"/>
    <w:rsid w:val="723B1F4E"/>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3"/>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D2C1E-8129-489C-9614-8830F75A5DE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6620</Words>
  <Characters>7036</Characters>
  <Lines>97</Lines>
  <Paragraphs>27</Paragraphs>
  <TotalTime>17</TotalTime>
  <ScaleCrop>false</ScaleCrop>
  <LinksUpToDate>false</LinksUpToDate>
  <CharactersWithSpaces>7334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2022-12-16T08:15:02Z</dcterms:modified>
  <dc:title>公开招标文件（货物服务类）</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DE4D26AD09FC46578DE574EE71B16051</vt:lpwstr>
  </property>
</Properties>
</file>