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val="en-US" w:eastAsia="zh-CN"/>
        </w:rPr>
        <w:t>工艺技术团队1L反应釜多功能聚酯试验装置采购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FHC-PTCG20221112001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工艺技术团队1L反应釜多功能聚酯试验装置</w:t>
      </w:r>
      <w:r>
        <w:rPr>
          <w:b/>
          <w:bCs/>
          <w:sz w:val="32"/>
          <w:lang w:eastAsia="zh-CN"/>
        </w:rPr>
        <w:t>采购</w:t>
      </w:r>
      <w:r>
        <w:rPr>
          <w:rFonts w:hint="eastAsia"/>
          <w:b/>
          <w:bCs/>
          <w:sz w:val="32"/>
          <w:lang w:eastAsia="zh-CN"/>
        </w:rPr>
        <w:t>比选公告</w:t>
      </w:r>
    </w:p>
    <w:p>
      <w:pPr>
        <w:pStyle w:val="20"/>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福建福海创石油化工有限公司工艺技术团队1L反应釜多功能聚酯试验装置采购（项目编号：FHC-PTCG20221112001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项目名称：福海创</w:t>
      </w:r>
      <w:r>
        <w:rPr>
          <w:rFonts w:hint="eastAsia"/>
          <w:sz w:val="24"/>
          <w:szCs w:val="24"/>
          <w:lang w:val="en-US" w:eastAsia="zh-CN"/>
        </w:rPr>
        <w:t>工艺技术团队1L反应釜多功能聚酯试验装置采购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w:t>
      </w:r>
      <w:bookmarkStart w:id="1" w:name="_GoBack"/>
      <w:bookmarkEnd w:id="1"/>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35</w:t>
      </w:r>
      <w:r>
        <w:rPr>
          <w:sz w:val="24"/>
          <w:szCs w:val="24"/>
          <w:lang w:eastAsia="zh-CN"/>
        </w:rPr>
        <w:t>万元</w:t>
      </w:r>
      <w:r>
        <w:rPr>
          <w:rFonts w:hint="eastAsia"/>
          <w:sz w:val="24"/>
          <w:szCs w:val="24"/>
          <w:lang w:eastAsia="zh-CN"/>
        </w:rPr>
        <w:t>（</w:t>
      </w:r>
      <w:r>
        <w:rPr>
          <w:rFonts w:hint="eastAsia"/>
          <w:sz w:val="24"/>
          <w:szCs w:val="24"/>
          <w:lang w:val="en-US" w:eastAsia="zh-CN"/>
        </w:rPr>
        <w:t>含税价）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4.交货期：合同生效之日起90天内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1.参选人必须具备有效的企业法人营业执照，参选单位应是具备独立法人资格且有能力按我司需求提供货物及服务的制造商；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w:t>
      </w:r>
      <w:r>
        <w:rPr>
          <w:rFonts w:hint="eastAsia" w:ascii="Times New Roman" w:hAnsi="Times New Roman" w:eastAsia="宋体" w:cs="Times New Roman"/>
          <w:color w:val="000000"/>
          <w:sz w:val="24"/>
          <w:szCs w:val="20"/>
        </w:rPr>
        <w:t>提供近3年内聚酯试验装置的相关经验与业绩</w:t>
      </w:r>
      <w:r>
        <w:rPr>
          <w:rFonts w:hint="eastAsia" w:ascii="Times New Roman" w:hAnsi="Times New Roman" w:cs="Times New Roman"/>
          <w:color w:val="000000"/>
          <w:sz w:val="24"/>
          <w:szCs w:val="20"/>
          <w:lang w:eastAsia="zh-CN"/>
        </w:rPr>
        <w:t>，</w:t>
      </w:r>
      <w:r>
        <w:rPr>
          <w:rFonts w:hint="eastAsia" w:eastAsia="宋体"/>
          <w:sz w:val="24"/>
        </w:rPr>
        <w:t>设备的设计及制造涉及压力容器设计、制造的需要提供相关制造商资质证明材料</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5.参选单位技术人员应具有丰富的聚酯生产工艺经验，熟悉聚酯生产工艺过程的控制，对试验过程中出现的问题能及时进行原因查找及提出解决方案；</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6.本项目不接受联合体参选。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报名成功后，参选人须与技术人员进行前期技术交流，给出合理的</w:t>
      </w:r>
      <w:r>
        <w:rPr>
          <w:rFonts w:hint="eastAsia"/>
          <w:color w:val="000000" w:themeColor="text1"/>
          <w:sz w:val="24"/>
          <w:szCs w:val="24"/>
          <w:lang w:val="en-US" w:eastAsia="zh-CN"/>
        </w:rPr>
        <w:t>技术方案（</w:t>
      </w:r>
      <w:r>
        <w:rPr>
          <w:rFonts w:hint="eastAsia" w:ascii="Times New Roman" w:hAnsi="Times New Roman" w:eastAsia="宋体" w:cs="Times New Roman"/>
          <w:color w:val="000000"/>
          <w:sz w:val="24"/>
          <w:szCs w:val="20"/>
        </w:rPr>
        <w:t>内容需包括：设备的应用范围、设计基础、工艺流程、供货清单、公用工程需求及接口、设备布置（占地大小）、备品备件清单、售后服务等</w:t>
      </w:r>
      <w:r>
        <w:rPr>
          <w:rFonts w:hint="eastAsia"/>
          <w:color w:val="000000" w:themeColor="text1"/>
          <w:sz w:val="24"/>
          <w:szCs w:val="24"/>
          <w:lang w:val="en-US" w:eastAsia="zh-CN"/>
        </w:rPr>
        <w:t>）</w:t>
      </w:r>
      <w:r>
        <w:rPr>
          <w:rFonts w:hint="eastAsia"/>
          <w:color w:val="000000" w:themeColor="text1"/>
          <w:sz w:val="24"/>
          <w:szCs w:val="24"/>
          <w:lang w:eastAsia="zh-CN"/>
        </w:rPr>
        <w:t>。技术交流后经比选人技术人员确认合格后，参选人方可参与后续比选，未进行报名和技术交流确认的参选人不能参加比选。技术交流暂定为报名截止后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工艺技术团队1L反应釜多功能聚酯试验装置采购</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技术联系人：陈辉阳 电话：13806098421 邮箱：</w:t>
      </w:r>
      <w:r>
        <w:rPr>
          <w:rFonts w:hint="eastAsia"/>
          <w:color w:val="000000" w:themeColor="text1"/>
          <w:sz w:val="24"/>
          <w:szCs w:val="24"/>
          <w:lang w:eastAsia="zh-CN"/>
        </w:rPr>
        <w:t>hych@fhcpec.com.cn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工艺技术团队1L反应釜多功能聚酯试验装置采购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lang w:eastAsia="zh-CN"/>
        </w:rPr>
      </w:pPr>
      <w:r>
        <w:rPr>
          <w:rFonts w:hint="eastAsia"/>
          <w:color w:val="000000" w:themeColor="text1"/>
          <w:sz w:val="24"/>
          <w:szCs w:val="24"/>
          <w:lang w:val="en-US" w:eastAsia="zh-CN"/>
        </w:rPr>
        <w:t>技术联系人：陈辉阳 电话：13806098421 邮箱：</w:t>
      </w:r>
      <w:r>
        <w:rPr>
          <w:rFonts w:hint="eastAsia"/>
          <w:color w:val="000000" w:themeColor="text1"/>
          <w:sz w:val="24"/>
          <w:szCs w:val="24"/>
          <w:lang w:eastAsia="zh-CN"/>
        </w:rPr>
        <w:t>hych@fhcpec.com.cn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1.参选人必须具备有效的企业法人营业执照，参选单位应是具备独立法人资格且有能力按我司需求提供货物及服务的制造商；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w:t>
      </w:r>
      <w:r>
        <w:rPr>
          <w:rFonts w:hint="eastAsia" w:ascii="Times New Roman" w:hAnsi="Times New Roman" w:eastAsia="宋体" w:cs="Times New Roman"/>
          <w:color w:val="000000"/>
          <w:sz w:val="24"/>
          <w:szCs w:val="20"/>
        </w:rPr>
        <w:t>提供近3年内聚酯试验装置的相关经验与业绩</w:t>
      </w:r>
      <w:r>
        <w:rPr>
          <w:rFonts w:hint="eastAsia" w:ascii="Times New Roman" w:hAnsi="Times New Roman" w:cs="Times New Roman"/>
          <w:color w:val="000000"/>
          <w:sz w:val="24"/>
          <w:szCs w:val="20"/>
          <w:lang w:eastAsia="zh-CN"/>
        </w:rPr>
        <w:t>，</w:t>
      </w:r>
      <w:r>
        <w:rPr>
          <w:rFonts w:hint="eastAsia" w:eastAsia="宋体"/>
          <w:sz w:val="24"/>
        </w:rPr>
        <w:t>设备的设计及制造涉及压力容器设计、制造的需要提供相关制造商资质证明材料</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5.参选单位技术人员应具有丰富的聚酯生产工艺经验，熟悉聚酯生产工艺过程的控制，对试验过程中出现的问题能及时进行原因查找及提出解决方案；</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6.本项目不接受联合体参选。</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工艺技术团队1L反应釜多功能聚酯试验装置采购</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翔鹭石化</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ascii="Times New Roman"/>
          <w:b/>
          <w:bCs/>
          <w:lang w:eastAsia="zh-CN"/>
        </w:rPr>
      </w:pPr>
      <w:r>
        <w:rPr>
          <w:rFonts w:hint="eastAsia" w:ascii="Times New Roman"/>
          <w:b/>
          <w:bCs/>
          <w:lang w:eastAsia="zh-CN"/>
        </w:rPr>
        <w:t>附件一、</w:t>
      </w:r>
    </w:p>
    <w:p>
      <w:pPr>
        <w:pStyle w:val="20"/>
        <w:jc w:val="center"/>
        <w:rPr>
          <w:rFonts w:hint="eastAsia" w:ascii="Times New Roman"/>
          <w:b/>
          <w:bCs/>
          <w:lang w:eastAsia="zh-CN"/>
        </w:rPr>
      </w:pPr>
      <w:r>
        <w:rPr>
          <w:rFonts w:hint="eastAsia"/>
          <w:b/>
          <w:sz w:val="28"/>
          <w:szCs w:val="28"/>
        </w:rPr>
        <w:t>采购合同</w:t>
      </w:r>
    </w:p>
    <w:tbl>
      <w:tblPr>
        <w:tblStyle w:val="48"/>
        <w:tblpPr w:leftFromText="180" w:rightFromText="180" w:vertAnchor="text" w:horzAnchor="page" w:tblpX="1784" w:tblpY="3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1"/>
        <w:gridCol w:w="3277"/>
        <w:gridCol w:w="1512"/>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bookmarkStart w:id="0" w:name="_Toc251742852"/>
            <w:r>
              <w:rPr>
                <w:rFonts w:hint="eastAsia"/>
                <w:sz w:val="24"/>
              </w:rPr>
              <w:t xml:space="preserve">                                                                                      </w:t>
            </w:r>
          </w:p>
        </w:tc>
        <w:tc>
          <w:tcPr>
            <w:tcW w:w="3277" w:type="dxa"/>
          </w:tcPr>
          <w:p>
            <w:pPr>
              <w:spacing w:line="120" w:lineRule="auto"/>
              <w:rPr>
                <w:sz w:val="24"/>
              </w:rPr>
            </w:pPr>
          </w:p>
        </w:tc>
        <w:tc>
          <w:tcPr>
            <w:tcW w:w="1512" w:type="dxa"/>
          </w:tcPr>
          <w:p>
            <w:pPr>
              <w:spacing w:line="120" w:lineRule="auto"/>
              <w:rPr>
                <w:sz w:val="24"/>
              </w:rPr>
            </w:pPr>
            <w:r>
              <w:rPr>
                <w:rFonts w:hint="eastAsia"/>
                <w:sz w:val="24"/>
              </w:rPr>
              <w:t>合同编号：</w:t>
            </w:r>
          </w:p>
        </w:tc>
        <w:tc>
          <w:tcPr>
            <w:tcW w:w="2756"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r>
              <w:rPr>
                <w:rFonts w:hint="eastAsia"/>
                <w:sz w:val="24"/>
              </w:rPr>
              <w:t>甲方：</w:t>
            </w:r>
          </w:p>
        </w:tc>
        <w:tc>
          <w:tcPr>
            <w:tcW w:w="3277" w:type="dxa"/>
          </w:tcPr>
          <w:p>
            <w:pPr>
              <w:spacing w:line="120" w:lineRule="auto"/>
              <w:rPr>
                <w:sz w:val="24"/>
              </w:rPr>
            </w:pPr>
            <w:r>
              <w:rPr>
                <w:rFonts w:hint="eastAsia"/>
                <w:sz w:val="24"/>
              </w:rPr>
              <w:t xml:space="preserve">                                     </w:t>
            </w:r>
          </w:p>
        </w:tc>
        <w:tc>
          <w:tcPr>
            <w:tcW w:w="1512" w:type="dxa"/>
          </w:tcPr>
          <w:p>
            <w:pPr>
              <w:spacing w:line="120" w:lineRule="auto"/>
              <w:rPr>
                <w:sz w:val="24"/>
              </w:rPr>
            </w:pPr>
            <w:r>
              <w:rPr>
                <w:rFonts w:hint="eastAsia"/>
                <w:sz w:val="24"/>
              </w:rPr>
              <w:t>签订地点：</w:t>
            </w:r>
          </w:p>
        </w:tc>
        <w:tc>
          <w:tcPr>
            <w:tcW w:w="2756"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r>
              <w:rPr>
                <w:rFonts w:hint="eastAsia"/>
                <w:sz w:val="24"/>
              </w:rPr>
              <w:t>乙方：</w:t>
            </w:r>
          </w:p>
        </w:tc>
        <w:tc>
          <w:tcPr>
            <w:tcW w:w="3277" w:type="dxa"/>
          </w:tcPr>
          <w:p>
            <w:pPr>
              <w:spacing w:line="120" w:lineRule="auto"/>
              <w:rPr>
                <w:sz w:val="24"/>
              </w:rPr>
            </w:pPr>
          </w:p>
        </w:tc>
        <w:tc>
          <w:tcPr>
            <w:tcW w:w="1512" w:type="dxa"/>
          </w:tcPr>
          <w:p>
            <w:pPr>
              <w:spacing w:line="120" w:lineRule="auto"/>
              <w:rPr>
                <w:sz w:val="24"/>
              </w:rPr>
            </w:pPr>
            <w:r>
              <w:rPr>
                <w:rFonts w:hint="eastAsia"/>
                <w:sz w:val="24"/>
              </w:rPr>
              <w:t>签订日期：</w:t>
            </w:r>
          </w:p>
        </w:tc>
        <w:tc>
          <w:tcPr>
            <w:tcW w:w="2756" w:type="dxa"/>
          </w:tcPr>
          <w:p>
            <w:pPr>
              <w:spacing w:line="120" w:lineRule="auto"/>
              <w:rPr>
                <w:sz w:val="24"/>
              </w:rPr>
            </w:pPr>
          </w:p>
        </w:tc>
      </w:tr>
    </w:tbl>
    <w:p>
      <w:pPr>
        <w:spacing w:line="120" w:lineRule="auto"/>
        <w:rPr>
          <w:sz w:val="24"/>
        </w:rPr>
      </w:pPr>
    </w:p>
    <w:p>
      <w:pPr>
        <w:pStyle w:val="2"/>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rFonts w:hint="eastAsia"/>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ind w:firstLine="480" w:firstLineChars="200"/>
      </w:pPr>
      <w:r>
        <w:rPr>
          <w:rFonts w:hint="eastAsia"/>
          <w:sz w:val="24"/>
        </w:rPr>
        <w:t>1、合同标的和合同价格</w:t>
      </w:r>
    </w:p>
    <w:tbl>
      <w:tblPr>
        <w:tblStyle w:val="47"/>
        <w:tblpPr w:leftFromText="180" w:rightFromText="180" w:vertAnchor="text" w:horzAnchor="page" w:tblpX="1741" w:tblpY="300"/>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127"/>
        <w:gridCol w:w="1701"/>
        <w:gridCol w:w="141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22"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22"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sz w:val="24"/>
              </w:rPr>
            </w:pPr>
            <w:r>
              <w:rPr>
                <w:rFonts w:hint="eastAsia"/>
                <w:sz w:val="24"/>
              </w:rPr>
              <w:t>合同金额合计</w:t>
            </w:r>
          </w:p>
        </w:tc>
        <w:tc>
          <w:tcPr>
            <w:tcW w:w="6867"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360" w:lineRule="auto"/>
        <w:ind w:firstLine="480" w:firstLineChars="20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ind w:firstLine="480" w:firstLineChars="200"/>
        <w:rPr>
          <w:rFonts w:hint="eastAsia"/>
          <w:sz w:val="24"/>
        </w:rPr>
      </w:pPr>
      <w:r>
        <w:rPr>
          <w:rFonts w:hint="eastAsia"/>
          <w:sz w:val="24"/>
        </w:rPr>
        <w:t>2、交货：</w:t>
      </w:r>
    </w:p>
    <w:p>
      <w:pPr>
        <w:spacing w:line="360" w:lineRule="auto"/>
        <w:ind w:firstLine="480" w:firstLineChars="200"/>
        <w:rPr>
          <w:rFonts w:hint="eastAsia"/>
          <w:sz w:val="24"/>
          <w:u w:val="single"/>
        </w:rPr>
      </w:pPr>
      <w:r>
        <w:rPr>
          <w:rFonts w:hint="eastAsia"/>
          <w:sz w:val="24"/>
        </w:rPr>
        <w:t>2.1交货方式：</w:t>
      </w:r>
      <w:r>
        <w:rPr>
          <w:rFonts w:hint="eastAsia"/>
          <w:sz w:val="24"/>
          <w:u w:val="single"/>
        </w:rPr>
        <w:t xml:space="preserve">                    </w:t>
      </w:r>
    </w:p>
    <w:p>
      <w:pPr>
        <w:spacing w:line="360" w:lineRule="auto"/>
        <w:ind w:firstLine="480" w:firstLineChars="200"/>
        <w:rPr>
          <w:rFonts w:hint="eastAsia"/>
          <w:sz w:val="24"/>
        </w:rPr>
      </w:pPr>
      <w:r>
        <w:rPr>
          <w:rFonts w:hint="eastAsia"/>
          <w:sz w:val="24"/>
        </w:rPr>
        <w:t>2.2交货地点：运送到</w:t>
      </w:r>
      <w:r>
        <w:rPr>
          <w:rFonts w:hint="eastAsia"/>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增值税专用</w:t>
      </w:r>
      <w:r>
        <w:rPr>
          <w:rFonts w:hint="eastAsia"/>
          <w:sz w:val="24"/>
        </w:rPr>
        <w:t>发票（税率</w:t>
      </w:r>
      <w:r>
        <w:rPr>
          <w:sz w:val="24"/>
          <w:u w:val="single"/>
        </w:rPr>
        <w:t xml:space="preserve"> </w:t>
      </w:r>
      <w:r>
        <w:rPr>
          <w:rFonts w:hint="eastAsia"/>
          <w:sz w:val="24"/>
          <w:u w:val="single"/>
          <w:lang w:val="en-US" w:eastAsia="zh-CN"/>
        </w:rPr>
        <w:t>13</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7"/>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numPr>
          <w:ilvl w:val="0"/>
          <w:numId w:val="0"/>
        </w:num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工艺技术团队1L反应釜多功能聚酯试验装置采购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rFonts w:hint="eastAsia" w:eastAsia="宋体"/>
                <w:sz w:val="24"/>
                <w:lang w:eastAsia="zh-CN"/>
              </w:rPr>
            </w:pPr>
            <w:r>
              <w:rPr>
                <w:rFonts w:hint="eastAsia"/>
                <w:sz w:val="24"/>
              </w:rPr>
              <w:t>参选报价单</w:t>
            </w:r>
            <w:r>
              <w:rPr>
                <w:rFonts w:hint="eastAsia"/>
                <w:sz w:val="24"/>
                <w:lang w:eastAsia="zh-CN"/>
              </w:rPr>
              <w:t>（</w:t>
            </w:r>
            <w:r>
              <w:rPr>
                <w:rFonts w:hint="eastAsia"/>
                <w:sz w:val="24"/>
                <w:lang w:val="en-US" w:eastAsia="zh-CN"/>
              </w:rPr>
              <w:t>商务参选文件</w:t>
            </w:r>
            <w:r>
              <w:rPr>
                <w:rFonts w:hint="eastAsia"/>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工艺技术团队1L反应釜多功能聚酯试验装置采购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82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p>
              </w:tc>
              <w:tc>
                <w:tcPr>
                  <w:tcW w:w="1887" w:type="dxa"/>
                  <w:vAlign w:val="center"/>
                </w:tcPr>
                <w:p>
                  <w:pPr>
                    <w:keepNext w:val="0"/>
                    <w:keepLines w:val="0"/>
                    <w:widowControl/>
                    <w:suppressLineNumbers w:val="0"/>
                    <w:jc w:val="center"/>
                    <w:textAlignment w:val="center"/>
                    <w:rPr>
                      <w:lang w:eastAsia="zh-CN"/>
                    </w:rPr>
                  </w:pP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1套</w:t>
                  </w:r>
                </w:p>
              </w:tc>
              <w:tc>
                <w:tcPr>
                  <w:tcW w:w="833" w:type="dxa"/>
                  <w:vAlign w:val="center"/>
                </w:tcPr>
                <w:p>
                  <w:pPr>
                    <w:jc w:val="left"/>
                    <w:rPr>
                      <w:lang w:eastAsia="zh-CN"/>
                    </w:rPr>
                  </w:pPr>
                </w:p>
              </w:tc>
              <w:tc>
                <w:tcPr>
                  <w:tcW w:w="825" w:type="dxa"/>
                  <w:vAlign w:val="center"/>
                </w:tcPr>
                <w:p>
                  <w:pPr>
                    <w:jc w:val="left"/>
                    <w:rPr>
                      <w:lang w:eastAsia="zh-CN"/>
                    </w:rPr>
                  </w:pPr>
                </w:p>
              </w:tc>
              <w:tc>
                <w:tcPr>
                  <w:tcW w:w="1635" w:type="dxa"/>
                  <w:vAlign w:val="center"/>
                </w:tcPr>
                <w:p>
                  <w:pPr>
                    <w:keepNext w:val="0"/>
                    <w:keepLines w:val="0"/>
                    <w:widowControl/>
                    <w:suppressLineNumbers w:val="0"/>
                    <w:jc w:val="left"/>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D1306"/>
    <w:multiLevelType w:val="singleLevel"/>
    <w:tmpl w:val="A99D1306"/>
    <w:lvl w:ilvl="0" w:tentative="0">
      <w:start w:val="12"/>
      <w:numFmt w:val="decimal"/>
      <w:suff w:val="nothing"/>
      <w:lvlText w:val="%1、"/>
      <w:lvlJc w:val="left"/>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3F4C"/>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02F1"/>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BE2D24"/>
    <w:rsid w:val="0367315B"/>
    <w:rsid w:val="054337CC"/>
    <w:rsid w:val="060757DE"/>
    <w:rsid w:val="061139E5"/>
    <w:rsid w:val="06F50B00"/>
    <w:rsid w:val="07022F26"/>
    <w:rsid w:val="076E1278"/>
    <w:rsid w:val="08D1141D"/>
    <w:rsid w:val="08E51BD4"/>
    <w:rsid w:val="0B296DE2"/>
    <w:rsid w:val="0B3B5734"/>
    <w:rsid w:val="0C4A3F7D"/>
    <w:rsid w:val="0C573F84"/>
    <w:rsid w:val="0C9F0868"/>
    <w:rsid w:val="0D9A6E96"/>
    <w:rsid w:val="0DC855D1"/>
    <w:rsid w:val="0ECB2505"/>
    <w:rsid w:val="0FA754E0"/>
    <w:rsid w:val="10016B0A"/>
    <w:rsid w:val="10294AA3"/>
    <w:rsid w:val="10E40CA0"/>
    <w:rsid w:val="136130D9"/>
    <w:rsid w:val="13805E8A"/>
    <w:rsid w:val="14762538"/>
    <w:rsid w:val="15800409"/>
    <w:rsid w:val="158D7AA9"/>
    <w:rsid w:val="18DD4F7E"/>
    <w:rsid w:val="195B58A2"/>
    <w:rsid w:val="1989465C"/>
    <w:rsid w:val="1A670183"/>
    <w:rsid w:val="1C934B6B"/>
    <w:rsid w:val="1E085A14"/>
    <w:rsid w:val="1FF43DDB"/>
    <w:rsid w:val="21933AA2"/>
    <w:rsid w:val="23CB5BA3"/>
    <w:rsid w:val="2423778D"/>
    <w:rsid w:val="25BF356F"/>
    <w:rsid w:val="25DB0C2D"/>
    <w:rsid w:val="269469E7"/>
    <w:rsid w:val="27EE0826"/>
    <w:rsid w:val="28A95D87"/>
    <w:rsid w:val="28BA7D0A"/>
    <w:rsid w:val="29977816"/>
    <w:rsid w:val="2998140D"/>
    <w:rsid w:val="29FC3B14"/>
    <w:rsid w:val="2A9E190D"/>
    <w:rsid w:val="2AA34D1C"/>
    <w:rsid w:val="2B11792E"/>
    <w:rsid w:val="2F724BD0"/>
    <w:rsid w:val="31230D7F"/>
    <w:rsid w:val="3190624C"/>
    <w:rsid w:val="31C54755"/>
    <w:rsid w:val="3216608C"/>
    <w:rsid w:val="32B527DB"/>
    <w:rsid w:val="34CE14C6"/>
    <w:rsid w:val="34D84CEC"/>
    <w:rsid w:val="374B05BE"/>
    <w:rsid w:val="37AC43B0"/>
    <w:rsid w:val="37AF5AB7"/>
    <w:rsid w:val="3B1C3371"/>
    <w:rsid w:val="3CC23198"/>
    <w:rsid w:val="3DDF4815"/>
    <w:rsid w:val="3F06588A"/>
    <w:rsid w:val="3FE669E5"/>
    <w:rsid w:val="43C66C85"/>
    <w:rsid w:val="443310F3"/>
    <w:rsid w:val="462A54F2"/>
    <w:rsid w:val="473E02B7"/>
    <w:rsid w:val="482345D6"/>
    <w:rsid w:val="49C43C5E"/>
    <w:rsid w:val="4A6A5207"/>
    <w:rsid w:val="50F63E28"/>
    <w:rsid w:val="512C12AF"/>
    <w:rsid w:val="51BA6F19"/>
    <w:rsid w:val="5221007F"/>
    <w:rsid w:val="52926B5A"/>
    <w:rsid w:val="52F74B88"/>
    <w:rsid w:val="545C5E51"/>
    <w:rsid w:val="5486175B"/>
    <w:rsid w:val="57667D24"/>
    <w:rsid w:val="57CE5BC3"/>
    <w:rsid w:val="5A2D3E44"/>
    <w:rsid w:val="5A3260D4"/>
    <w:rsid w:val="5AE1516A"/>
    <w:rsid w:val="5B6A3A79"/>
    <w:rsid w:val="5C1A5F7B"/>
    <w:rsid w:val="5C3F284A"/>
    <w:rsid w:val="5D7A3273"/>
    <w:rsid w:val="5E2B4120"/>
    <w:rsid w:val="628D3982"/>
    <w:rsid w:val="645771F8"/>
    <w:rsid w:val="64FD0D19"/>
    <w:rsid w:val="671B7B43"/>
    <w:rsid w:val="692073C4"/>
    <w:rsid w:val="6A54112D"/>
    <w:rsid w:val="6A701C86"/>
    <w:rsid w:val="6AA035AE"/>
    <w:rsid w:val="6B243BC7"/>
    <w:rsid w:val="6BCB034D"/>
    <w:rsid w:val="6C0E1756"/>
    <w:rsid w:val="6DA560EA"/>
    <w:rsid w:val="6E0F2E14"/>
    <w:rsid w:val="6EC431CF"/>
    <w:rsid w:val="6EF8049C"/>
    <w:rsid w:val="6F1E141D"/>
    <w:rsid w:val="6F34735B"/>
    <w:rsid w:val="6F5354F8"/>
    <w:rsid w:val="727810B8"/>
    <w:rsid w:val="72AF7821"/>
    <w:rsid w:val="740A2BDE"/>
    <w:rsid w:val="751839E0"/>
    <w:rsid w:val="76274F93"/>
    <w:rsid w:val="76D87408"/>
    <w:rsid w:val="775A0713"/>
    <w:rsid w:val="792E51E6"/>
    <w:rsid w:val="79475ECF"/>
    <w:rsid w:val="79EB3F2F"/>
    <w:rsid w:val="79FD3C4B"/>
    <w:rsid w:val="7A263D7E"/>
    <w:rsid w:val="7B11789E"/>
    <w:rsid w:val="7B2F1FC5"/>
    <w:rsid w:val="7C9061B7"/>
    <w:rsid w:val="7D250FF6"/>
    <w:rsid w:val="7DC94A0A"/>
    <w:rsid w:val="7EA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8845</Words>
  <Characters>9489</Characters>
  <Lines>115</Lines>
  <Paragraphs>32</Paragraphs>
  <TotalTime>2</TotalTime>
  <ScaleCrop>false</ScaleCrop>
  <LinksUpToDate>false</LinksUpToDate>
  <CharactersWithSpaces>10214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2022-11-17T01:01:07Z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