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二甲基二硫</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二甲基二硫</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1020</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10</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20</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二甲基二硫</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二甲基二硫</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二甲基二硫</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1020</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二甲基二硫</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二甲基二硫</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及采购指标</w:t>
      </w:r>
      <w:r>
        <w:rPr>
          <w:rFonts w:hint="eastAsia" w:asciiTheme="minorEastAsia" w:hAnsiTheme="minorEastAsia" w:eastAsiaTheme="minorEastAsia"/>
          <w:bCs/>
          <w:sz w:val="24"/>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危化品经营许可证。</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危化品经营许可证等证件（加盖单位公章的复印件）</w:t>
      </w:r>
      <w:r>
        <w:rPr>
          <w:rFonts w:hint="eastAsia" w:asciiTheme="minorEastAsia" w:hAnsiTheme="minorEastAsia" w:eastAsiaTheme="minorEastAsia"/>
          <w:sz w:val="24"/>
          <w:lang w:eastAsia="zh-CN"/>
        </w:rPr>
        <w:t>；</w:t>
      </w:r>
      <w:bookmarkStart w:id="2" w:name="_GoBack"/>
      <w:bookmarkEnd w:id="2"/>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）至少</w:t>
      </w:r>
      <w:r>
        <w:rPr>
          <w:rFonts w:hint="eastAsia" w:asciiTheme="minorEastAsia" w:hAnsiTheme="minorEastAsia" w:eastAsiaTheme="minorEastAsia"/>
          <w:sz w:val="24"/>
          <w:lang w:val="en-US" w:eastAsia="zh-CN"/>
        </w:rPr>
        <w:t>两</w:t>
      </w:r>
      <w:r>
        <w:rPr>
          <w:rFonts w:hint="eastAsia" w:asciiTheme="minorEastAsia" w:hAnsiTheme="minorEastAsia" w:eastAsiaTheme="minorEastAsia"/>
          <w:sz w:val="24"/>
          <w:lang w:eastAsia="zh-CN"/>
        </w:rPr>
        <w:t>份同类业绩证明；</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如遇新型冠状病毒疫情影响导致无法保证物流配送时间，需邮件说明原因并在标书递交截止时间前邮件加密发送标书至：wzcgb@fjpec.com.cn（邮件标题备注标书项目名称）。开选当日将由业务员联系获取加密密码。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20</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二甲基二硫</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r>
        <w:rPr>
          <w:rFonts w:hint="eastAsia" w:ascii="宋体"/>
          <w:sz w:val="18"/>
          <w:szCs w:val="18"/>
          <w:lang w:eastAsia="zh-CN"/>
        </w:rPr>
        <w:t>、危化品经营许可证</w:t>
      </w:r>
      <w:r>
        <w:rPr>
          <w:rFonts w:hint="eastAsia" w:ascii="宋体"/>
          <w:sz w:val="18"/>
          <w:szCs w:val="18"/>
        </w:rPr>
        <w:t>；</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highlight w:val="none"/>
        </w:rPr>
      </w:pPr>
      <w:r>
        <w:rPr>
          <w:rFonts w:hint="eastAsia" w:ascii="宋体"/>
          <w:sz w:val="18"/>
          <w:szCs w:val="18"/>
        </w:rPr>
        <w:t>（5）</w:t>
      </w:r>
      <w:r>
        <w:rPr>
          <w:rFonts w:hint="eastAsia" w:ascii="宋体"/>
          <w:sz w:val="18"/>
          <w:szCs w:val="18"/>
          <w:highlight w:val="none"/>
        </w:rPr>
        <w:t>参选保证金：</w:t>
      </w:r>
      <w:r>
        <w:rPr>
          <w:rFonts w:hint="eastAsia" w:ascii="宋体"/>
          <w:sz w:val="18"/>
          <w:szCs w:val="18"/>
          <w:highlight w:val="none"/>
          <w:lang w:val="en-US" w:eastAsia="zh-CN"/>
        </w:rPr>
        <w:t>壹拾万元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二甲基二硫</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二甲基二硫</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1020</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二甲基二硫</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90吨。</w:t>
      </w:r>
    </w:p>
    <w:p>
      <w:pPr>
        <w:numPr>
          <w:ilvl w:val="0"/>
          <w:numId w:val="5"/>
        </w:numPr>
        <w:spacing w:line="360" w:lineRule="exact"/>
        <w:jc w:val="left"/>
        <w:rPr>
          <w:rFonts w:ascii="宋体" w:hAnsi="宋体" w:cs="宋体"/>
          <w:sz w:val="24"/>
          <w:highlight w:val="yellow"/>
        </w:rPr>
      </w:pPr>
      <w:r>
        <w:rPr>
          <w:rFonts w:hint="eastAsia" w:ascii="宋体" w:hAnsi="宋体" w:cs="宋体"/>
          <w:sz w:val="24"/>
          <w:highlight w:val="yellow"/>
          <w:lang w:val="en-US" w:eastAsia="zh-CN"/>
        </w:rPr>
        <w:t>采购指标：详见附件采购指标。</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采用全新镀锌铁桶200KG/</w:t>
      </w:r>
      <w:r>
        <w:rPr>
          <w:rFonts w:hint="eastAsia" w:ascii="宋体" w:hAnsi="宋体" w:cs="宋体"/>
          <w:sz w:val="24"/>
        </w:rPr>
        <w:t>桶</w:t>
      </w:r>
      <w:r>
        <w:rPr>
          <w:rFonts w:hint="eastAsia" w:ascii="宋体" w:hAnsi="宋体" w:cs="宋体"/>
          <w:sz w:val="24"/>
          <w:lang w:eastAsia="zh-CN"/>
        </w:rPr>
        <w:t>，</w:t>
      </w:r>
      <w:r>
        <w:rPr>
          <w:rFonts w:hint="eastAsia" w:ascii="宋体" w:hAnsi="宋体" w:cs="宋体"/>
          <w:sz w:val="24"/>
          <w:lang w:val="en-US" w:eastAsia="zh-CN"/>
        </w:rPr>
        <w:t>带托盘</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color w:val="auto"/>
          <w:sz w:val="24"/>
          <w:lang w:val="en-US" w:eastAsia="zh-CN"/>
        </w:rPr>
        <w:t>分批到货，需于</w:t>
      </w:r>
      <w:r>
        <w:rPr>
          <w:rFonts w:hint="eastAsia" w:ascii="宋体" w:hAnsi="宋体"/>
          <w:sz w:val="24"/>
          <w:lang w:val="en-US" w:eastAsia="zh-CN"/>
        </w:rPr>
        <w:t>2022年12月份具备到货条件，具体到货时间以需方通知为准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二甲基二硫</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，经需方收到并确认无误后向供方支付该批次货物货款。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采购指标</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二甲基二硫</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1020</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二甲基二硫</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1020</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二甲基二硫</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1020</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二甲基二硫</w:t>
      </w:r>
      <w:r>
        <w:rPr>
          <w:rFonts w:hint="eastAsia" w:ascii="宋体" w:hAnsi="宋体"/>
          <w:color w:val="auto"/>
          <w:sz w:val="24"/>
        </w:rPr>
        <w:t>：</w:t>
      </w:r>
    </w:p>
    <w:p>
      <w:pPr>
        <w:numPr>
          <w:ilvl w:val="0"/>
          <w:numId w:val="0"/>
        </w:numPr>
        <w:spacing w:line="312" w:lineRule="auto"/>
        <w:rPr>
          <w:rFonts w:hint="eastAsia" w:ascii="宋体" w:hAnsi="宋体" w:eastAsia="宋体"/>
          <w:color w:val="auto"/>
          <w:sz w:val="24"/>
          <w:lang w:eastAsia="zh-CN"/>
        </w:rPr>
      </w:pPr>
      <w:r>
        <w:rPr>
          <w:rFonts w:hint="eastAsia" w:ascii="宋体" w:hAnsi="宋体"/>
          <w:color w:val="auto"/>
          <w:sz w:val="24"/>
        </w:rPr>
        <w:t>（1）数量：</w:t>
      </w:r>
      <w:r>
        <w:rPr>
          <w:rFonts w:hint="eastAsia" w:ascii="宋体" w:hAnsi="宋体"/>
          <w:color w:val="auto"/>
          <w:sz w:val="24"/>
          <w:u w:val="single"/>
        </w:rPr>
        <w:t xml:space="preserve"> </w:t>
      </w:r>
      <w:r>
        <w:rPr>
          <w:rFonts w:hint="eastAsia" w:ascii="宋体" w:hAnsi="宋体"/>
          <w:color w:val="auto"/>
          <w:sz w:val="24"/>
          <w:u w:val="single"/>
          <w:lang w:val="en-US" w:eastAsia="zh-CN"/>
        </w:rPr>
        <w:t>90</w:t>
      </w:r>
      <w:r>
        <w:rPr>
          <w:rFonts w:hint="eastAsia" w:ascii="宋体" w:hAnsi="宋体"/>
          <w:color w:val="auto"/>
          <w:sz w:val="24"/>
        </w:rPr>
        <w:t>吨</w:t>
      </w:r>
      <w:r>
        <w:rPr>
          <w:rFonts w:hint="eastAsia" w:ascii="宋体" w:hAnsi="宋体"/>
          <w:color w:val="auto"/>
          <w:sz w:val="24"/>
          <w:lang w:eastAsia="zh-CN"/>
        </w:rPr>
        <w:t>。</w:t>
      </w:r>
    </w:p>
    <w:p>
      <w:pPr>
        <w:numPr>
          <w:ilvl w:val="0"/>
          <w:numId w:val="7"/>
        </w:numPr>
        <w:spacing w:line="312" w:lineRule="auto"/>
        <w:rPr>
          <w:rFonts w:hint="eastAsia" w:ascii="宋体" w:hAnsi="宋体"/>
          <w:color w:val="auto"/>
          <w:sz w:val="24"/>
        </w:rPr>
      </w:pPr>
      <w:r>
        <w:rPr>
          <w:rFonts w:hint="eastAsia" w:ascii="宋体" w:hAnsi="宋体"/>
          <w:color w:val="auto"/>
          <w:sz w:val="24"/>
        </w:rPr>
        <w:t>产品的包装</w:t>
      </w:r>
      <w:r>
        <w:rPr>
          <w:rFonts w:hint="eastAsia" w:ascii="宋体" w:hAnsi="宋体"/>
          <w:color w:val="auto"/>
          <w:sz w:val="24"/>
          <w:lang w:eastAsia="zh-CN"/>
        </w:rPr>
        <w:t>：</w:t>
      </w:r>
      <w:r>
        <w:rPr>
          <w:rFonts w:hint="eastAsia" w:ascii="宋体" w:hAnsi="宋体"/>
          <w:color w:val="auto"/>
          <w:sz w:val="24"/>
        </w:rPr>
        <w:t>采用</w:t>
      </w:r>
      <w:r>
        <w:rPr>
          <w:rFonts w:hint="eastAsia" w:ascii="宋体" w:hAnsi="宋体"/>
          <w:color w:val="auto"/>
          <w:sz w:val="24"/>
          <w:lang w:val="en-US" w:eastAsia="zh-CN"/>
        </w:rPr>
        <w:t>全新镀锌铁桶200KG/</w:t>
      </w:r>
      <w:r>
        <w:rPr>
          <w:rFonts w:hint="eastAsia" w:ascii="宋体" w:hAnsi="宋体"/>
          <w:color w:val="auto"/>
          <w:sz w:val="24"/>
        </w:rPr>
        <w:t>桶</w:t>
      </w:r>
      <w:r>
        <w:rPr>
          <w:rFonts w:hint="eastAsia" w:ascii="宋体" w:hAnsi="宋体"/>
          <w:color w:val="auto"/>
          <w:sz w:val="24"/>
          <w:lang w:eastAsia="zh-CN"/>
        </w:rPr>
        <w:t>，</w:t>
      </w:r>
      <w:r>
        <w:rPr>
          <w:rFonts w:hint="eastAsia" w:ascii="宋体" w:hAnsi="宋体"/>
          <w:color w:val="auto"/>
          <w:sz w:val="24"/>
          <w:lang w:val="en-US" w:eastAsia="zh-CN"/>
        </w:rPr>
        <w:t>带托盘</w:t>
      </w:r>
      <w:r>
        <w:rPr>
          <w:rFonts w:hint="eastAsia" w:ascii="宋体" w:hAnsi="宋体"/>
          <w:color w:val="auto"/>
          <w:sz w:val="24"/>
        </w:rPr>
        <w:t>。</w:t>
      </w:r>
    </w:p>
    <w:p>
      <w:pPr>
        <w:numPr>
          <w:ilvl w:val="0"/>
          <w:numId w:val="7"/>
        </w:numPr>
        <w:spacing w:line="312" w:lineRule="auto"/>
        <w:rPr>
          <w:rFonts w:hint="eastAsia" w:ascii="宋体" w:hAnsi="宋体"/>
          <w:color w:val="auto"/>
          <w:sz w:val="24"/>
        </w:rPr>
      </w:pP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元/吨，含税总价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采购指标</w:t>
      </w:r>
      <w:r>
        <w:rPr>
          <w:rFonts w:hint="eastAsia" w:ascii="宋体" w:hAnsi="宋体"/>
          <w:color w:val="auto"/>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壹拾万元</w:t>
      </w:r>
      <w:r>
        <w:rPr>
          <w:rFonts w:hint="eastAsia" w:ascii="宋体" w:hAnsi="宋体"/>
          <w:sz w:val="24"/>
        </w:rPr>
        <w:t>整，若我司中选，我司同意按照要求</w:t>
      </w:r>
      <w:r>
        <w:rPr>
          <w:rFonts w:hint="eastAsia" w:ascii="宋体" w:hAnsi="宋体"/>
          <w:sz w:val="24"/>
          <w:lang w:val="en-US" w:eastAsia="zh-CN"/>
        </w:rPr>
        <w:t>转为履约保证金并作为合同质保金</w:t>
      </w:r>
      <w:r>
        <w:rPr>
          <w:rFonts w:hint="eastAsia" w:ascii="宋体" w:hAnsi="宋体"/>
          <w:color w:val="auto"/>
          <w:sz w:val="24"/>
          <w:highlight w:val="none"/>
          <w:lang w:val="en-US" w:eastAsia="zh-CN"/>
        </w:rPr>
        <w:t>待合同期满且无产品质量问题一年后申请无息返还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货物需于2022年12月份具备到货条件，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w:t>
      </w:r>
      <w:r>
        <w:rPr>
          <w:rFonts w:hint="eastAsia" w:ascii="宋体" w:hAnsi="宋体"/>
          <w:sz w:val="24"/>
          <w:lang w:val="en-US" w:eastAsia="zh-CN"/>
        </w:rPr>
        <w:t>付款方式：</w:t>
      </w:r>
      <w:r>
        <w:rPr>
          <w:rFonts w:hint="eastAsia" w:ascii="宋体" w:hAnsi="宋体"/>
          <w:sz w:val="24"/>
        </w:rPr>
        <w:t>现汇支付</w:t>
      </w:r>
      <w:r>
        <w:rPr>
          <w:rFonts w:hint="eastAsia" w:ascii="宋体" w:hAnsi="宋体"/>
          <w:sz w:val="24"/>
          <w:lang w:eastAsia="zh-CN"/>
        </w:rPr>
        <w:t>，</w:t>
      </w:r>
      <w:r>
        <w:rPr>
          <w:rFonts w:hint="eastAsia" w:ascii="宋体" w:hAnsi="宋体"/>
          <w:sz w:val="24"/>
          <w:lang w:val="en-US" w:eastAsia="zh-CN"/>
        </w:rPr>
        <w:t>分批到货、分批付款。</w:t>
      </w:r>
      <w:r>
        <w:rPr>
          <w:rFonts w:hint="eastAsia" w:ascii="宋体" w:hAnsi="宋体"/>
          <w:sz w:val="24"/>
        </w:rPr>
        <w:t>每批产品到货</w:t>
      </w:r>
      <w:r>
        <w:rPr>
          <w:rFonts w:hint="eastAsia" w:ascii="宋体" w:hAnsi="宋体"/>
          <w:sz w:val="24"/>
          <w:lang w:val="en-US" w:eastAsia="zh-CN"/>
        </w:rPr>
        <w:t>后</w:t>
      </w:r>
      <w:r>
        <w:rPr>
          <w:rFonts w:hint="eastAsia" w:ascii="宋体" w:hAnsi="宋体"/>
          <w:sz w:val="24"/>
        </w:rPr>
        <w:t>，经需方或需方指定单位根据合同约定的质量、数量标准验收合格后，供方提供相应金额的13%增值税专用发票以及结算所需的各类清单，需方收到并确认无误后向供方支付该批次货物货款</w:t>
      </w:r>
      <w:r>
        <w:rPr>
          <w:rFonts w:hint="eastAsia" w:ascii="宋体" w:hAnsi="宋体"/>
          <w:sz w:val="24"/>
          <w:lang w:eastAsia="zh-CN"/>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二甲基二硫</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1020</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cs="Arial"/>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分批到货、分批付款。每批</w:t>
      </w:r>
      <w:r>
        <w:rPr>
          <w:rFonts w:hint="eastAsia" w:ascii="宋体" w:hAnsi="宋体"/>
          <w:b w:val="0"/>
          <w:bCs/>
          <w:szCs w:val="21"/>
        </w:rPr>
        <w:t>产品到货后，根据本合同约定的质量、数量标准验收合格后，供方提供相应金额的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分批到货，货物需于2022年12月份具备到货条件，具体到货时间以需方通知为准。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壹拾万元整。合同履约期届满（质保一年且无产品质量问题），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质量指标：见附件</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r>
        <w:rPr>
          <w:rFonts w:hint="eastAsia"/>
          <w:szCs w:val="21"/>
          <w:lang w:val="en-US" w:eastAsia="zh-CN"/>
        </w:rPr>
        <w:t>附件：二甲基二硫采购指标：</w:t>
      </w:r>
    </w:p>
    <w:p>
      <w:pPr>
        <w:spacing w:line="360" w:lineRule="auto"/>
        <w:jc w:val="left"/>
        <w:rPr>
          <w:rFonts w:ascii="宋体" w:hAnsi="宋体" w:cs="宋体"/>
          <w:b/>
          <w:sz w:val="28"/>
          <w:szCs w:val="28"/>
        </w:rPr>
      </w:pPr>
      <w:r>
        <w:drawing>
          <wp:inline distT="0" distB="0" distL="114300" distR="114300">
            <wp:extent cx="4514850" cy="5334635"/>
            <wp:effectExtent l="0" t="0" r="635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514850" cy="5334635"/>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53A40"/>
    <w:rsid w:val="03033536"/>
    <w:rsid w:val="03261A08"/>
    <w:rsid w:val="032857C7"/>
    <w:rsid w:val="032D15FD"/>
    <w:rsid w:val="032F04D8"/>
    <w:rsid w:val="03E270E3"/>
    <w:rsid w:val="03E5328D"/>
    <w:rsid w:val="042207A6"/>
    <w:rsid w:val="04444FBA"/>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CC3EB5"/>
    <w:rsid w:val="0ADD75BB"/>
    <w:rsid w:val="0B0D38CD"/>
    <w:rsid w:val="0B35169E"/>
    <w:rsid w:val="0B4A13AC"/>
    <w:rsid w:val="0B8E420A"/>
    <w:rsid w:val="0C3D7481"/>
    <w:rsid w:val="0CF127D7"/>
    <w:rsid w:val="0CFA5163"/>
    <w:rsid w:val="0DA163F9"/>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42F7DC3"/>
    <w:rsid w:val="14937361"/>
    <w:rsid w:val="149868E6"/>
    <w:rsid w:val="14FC5116"/>
    <w:rsid w:val="15033088"/>
    <w:rsid w:val="150647E6"/>
    <w:rsid w:val="15101A52"/>
    <w:rsid w:val="15125849"/>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FA6BBD"/>
    <w:rsid w:val="191A3D61"/>
    <w:rsid w:val="192A2CC6"/>
    <w:rsid w:val="19DA3B6D"/>
    <w:rsid w:val="19F04AD4"/>
    <w:rsid w:val="1A247E7E"/>
    <w:rsid w:val="1A2F6DF9"/>
    <w:rsid w:val="1A3168AB"/>
    <w:rsid w:val="1A4C05AB"/>
    <w:rsid w:val="1A4F0A64"/>
    <w:rsid w:val="1A747000"/>
    <w:rsid w:val="1AF22A1C"/>
    <w:rsid w:val="1AFD66F4"/>
    <w:rsid w:val="1B233A0E"/>
    <w:rsid w:val="1B657395"/>
    <w:rsid w:val="1B7C1123"/>
    <w:rsid w:val="1B8F7883"/>
    <w:rsid w:val="1B927AE6"/>
    <w:rsid w:val="1BC93515"/>
    <w:rsid w:val="1C1B3FE4"/>
    <w:rsid w:val="1C513BF0"/>
    <w:rsid w:val="1C8261A0"/>
    <w:rsid w:val="1CF31038"/>
    <w:rsid w:val="1D0113C9"/>
    <w:rsid w:val="1D05782C"/>
    <w:rsid w:val="1D7757F1"/>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D9170E"/>
    <w:rsid w:val="25E0040C"/>
    <w:rsid w:val="25F3676D"/>
    <w:rsid w:val="26035576"/>
    <w:rsid w:val="2665006F"/>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AC4DAC"/>
    <w:rsid w:val="29B80978"/>
    <w:rsid w:val="29CE07E6"/>
    <w:rsid w:val="29D17C38"/>
    <w:rsid w:val="29DA1C97"/>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A319DC"/>
    <w:rsid w:val="2DF06759"/>
    <w:rsid w:val="2E12514F"/>
    <w:rsid w:val="2E351771"/>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21635"/>
    <w:rsid w:val="31F46862"/>
    <w:rsid w:val="321859D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8F04E1B"/>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656913"/>
    <w:rsid w:val="3C94066E"/>
    <w:rsid w:val="3CFE624A"/>
    <w:rsid w:val="3D1251D3"/>
    <w:rsid w:val="3D173430"/>
    <w:rsid w:val="3D470E27"/>
    <w:rsid w:val="3D475A63"/>
    <w:rsid w:val="3E032F87"/>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8C78B8"/>
    <w:rsid w:val="44B2410D"/>
    <w:rsid w:val="44CB1108"/>
    <w:rsid w:val="44E4129A"/>
    <w:rsid w:val="453F611C"/>
    <w:rsid w:val="454D6E39"/>
    <w:rsid w:val="45C94E39"/>
    <w:rsid w:val="45CD5D18"/>
    <w:rsid w:val="45D568DB"/>
    <w:rsid w:val="45E64357"/>
    <w:rsid w:val="46051FED"/>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CF91653"/>
    <w:rsid w:val="4D13604C"/>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350240"/>
    <w:rsid w:val="52670AC3"/>
    <w:rsid w:val="529A77A5"/>
    <w:rsid w:val="53396CC8"/>
    <w:rsid w:val="53523F58"/>
    <w:rsid w:val="536C4A8A"/>
    <w:rsid w:val="53ED6794"/>
    <w:rsid w:val="542657F3"/>
    <w:rsid w:val="542A50A2"/>
    <w:rsid w:val="542D5399"/>
    <w:rsid w:val="543E14AB"/>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521E5"/>
    <w:rsid w:val="592E0C31"/>
    <w:rsid w:val="5930567C"/>
    <w:rsid w:val="593259F3"/>
    <w:rsid w:val="594531C0"/>
    <w:rsid w:val="59B64E5B"/>
    <w:rsid w:val="59C41AA5"/>
    <w:rsid w:val="5A196198"/>
    <w:rsid w:val="5A36290A"/>
    <w:rsid w:val="5AC454CC"/>
    <w:rsid w:val="5B004781"/>
    <w:rsid w:val="5B416702"/>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3E76134"/>
    <w:rsid w:val="64383FFB"/>
    <w:rsid w:val="6457654C"/>
    <w:rsid w:val="64834708"/>
    <w:rsid w:val="64AC0A38"/>
    <w:rsid w:val="64D43A06"/>
    <w:rsid w:val="64D45316"/>
    <w:rsid w:val="651A5C4B"/>
    <w:rsid w:val="653116C9"/>
    <w:rsid w:val="653A164C"/>
    <w:rsid w:val="65B31BCC"/>
    <w:rsid w:val="65B87A10"/>
    <w:rsid w:val="65D35C16"/>
    <w:rsid w:val="6606215B"/>
    <w:rsid w:val="666879C6"/>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A544FCD"/>
    <w:rsid w:val="6AC26EA2"/>
    <w:rsid w:val="6AC44695"/>
    <w:rsid w:val="6B477EF6"/>
    <w:rsid w:val="6B513865"/>
    <w:rsid w:val="6B9A256C"/>
    <w:rsid w:val="6BA373FF"/>
    <w:rsid w:val="6BEB1E5F"/>
    <w:rsid w:val="6C4957FC"/>
    <w:rsid w:val="6C53730E"/>
    <w:rsid w:val="6C5534FB"/>
    <w:rsid w:val="6C61176F"/>
    <w:rsid w:val="6C666306"/>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37</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2022-10-21T06:39:13Z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